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kern w:val="0"/>
          <w:sz w:val="22"/>
          <w:szCs w:val="22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  <w:t>CLAUDIN 18.2 IHC BIOMARKER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kern w:val="0"/>
          <w:sz w:val="22"/>
          <w:szCs w:val="22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kern w:val="0"/>
          <w:sz w:val="22"/>
          <w:szCs w:val="22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  <w:t>Assay Purpose: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kern w:val="0"/>
          <w:sz w:val="22"/>
          <w:szCs w:val="22"/>
        </w:rPr>
        <w:t>D</w:t>
      </w:r>
      <w:r>
        <w:rPr>
          <w:rFonts w:cs="Arial" w:ascii="Arial" w:hAnsi="Arial"/>
          <w:kern w:val="0"/>
          <w:sz w:val="22"/>
          <w:szCs w:val="22"/>
        </w:rPr>
        <w:t>iagnostic : gastric or gastroesophageal junction (GEJ) adenocarcinoma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kern w:val="0"/>
          <w:sz w:val="22"/>
          <w:szCs w:val="22"/>
        </w:rPr>
        <w:t>D</w:t>
      </w:r>
      <w:r>
        <w:rPr>
          <w:rFonts w:cs="Arial" w:ascii="Arial" w:hAnsi="Arial"/>
          <w:kern w:val="0"/>
          <w:sz w:val="22"/>
          <w:szCs w:val="22"/>
        </w:rPr>
        <w:t>rug: Zolbetuximab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kern w:val="0"/>
          <w:sz w:val="22"/>
          <w:szCs w:val="22"/>
        </w:rPr>
        <w:t>D</w:t>
      </w:r>
      <w:r>
        <w:rPr>
          <w:rFonts w:cs="Arial" w:ascii="Arial" w:hAnsi="Arial"/>
          <w:kern w:val="0"/>
          <w:sz w:val="22"/>
          <w:szCs w:val="22"/>
        </w:rPr>
        <w:t>iagnostic test: CLDN18.2 Immunohistochemistry (IHC), VENTANA CLDN18 (43-14A) RxDx assay</w:t>
      </w:r>
    </w:p>
    <w:p>
      <w:pPr>
        <w:pStyle w:val="Normal"/>
        <w:spacing w:lineRule="auto" w:line="240" w:before="0" w:after="0"/>
        <w:rPr>
          <w:rFonts w:ascii="Arial" w:hAnsi="Arial" w:cs="Arial"/>
          <w:kern w:val="0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cs="Arial"/>
          <w:kern w:val="0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  <w:t>Performed on block ***</w:t>
      </w:r>
    </w:p>
    <w:p>
      <w:pPr>
        <w:pStyle w:val="Normal"/>
        <w:spacing w:lineRule="auto" w:line="240" w:before="0" w:after="0"/>
        <w:rPr>
          <w:rFonts w:ascii="Arial" w:hAnsi="Arial" w:cs="Arial"/>
          <w:kern w:val="0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kern w:val="0"/>
          <w:sz w:val="22"/>
          <w:szCs w:val="22"/>
        </w:rPr>
        <w:t xml:space="preserve">Result:       Positive </w:t>
      </w:r>
      <w:r>
        <w:rPr>
          <w:rFonts w:cs="Arial" w:ascii="Arial" w:hAnsi="Arial"/>
          <w:b/>
          <w:bCs/>
          <w:color w:val="FF0000"/>
          <w:kern w:val="0"/>
          <w:sz w:val="22"/>
          <w:szCs w:val="22"/>
        </w:rPr>
        <w:t>OR</w:t>
      </w:r>
      <w:r>
        <w:rPr>
          <w:rFonts w:cs="Arial" w:ascii="Arial" w:hAnsi="Arial"/>
          <w:b/>
          <w:bCs/>
          <w:kern w:val="0"/>
          <w:sz w:val="22"/>
          <w:szCs w:val="22"/>
        </w:rPr>
        <w:t xml:space="preserve"> Negative </w:t>
      </w:r>
      <w:r>
        <w:rPr>
          <w:rFonts w:cs="Arial" w:ascii="Arial" w:hAnsi="Arial"/>
          <w:b/>
          <w:bCs/>
          <w:color w:val="FF0000"/>
          <w:kern w:val="0"/>
          <w:sz w:val="22"/>
          <w:szCs w:val="22"/>
        </w:rPr>
        <w:t>OR</w:t>
      </w:r>
      <w:r>
        <w:rPr>
          <w:rFonts w:cs="Arial" w:ascii="Arial" w:hAnsi="Arial"/>
          <w:b/>
          <w:bCs/>
          <w:kern w:val="0"/>
          <w:sz w:val="22"/>
          <w:szCs w:val="22"/>
        </w:rPr>
        <w:t xml:space="preserve"> Inadequate </w:t>
      </w:r>
      <w:r>
        <w:rPr>
          <w:rFonts w:cs="Arial" w:ascii="Arial" w:hAnsi="Arial"/>
          <w:b/>
          <w:bCs/>
          <w:color w:val="FF0000"/>
          <w:kern w:val="0"/>
          <w:sz w:val="22"/>
          <w:szCs w:val="22"/>
        </w:rPr>
        <w:t>OR</w:t>
      </w:r>
      <w:r>
        <w:rPr>
          <w:rFonts w:cs="Arial" w:ascii="Arial" w:hAnsi="Arial"/>
          <w:b/>
          <w:bCs/>
          <w:kern w:val="0"/>
          <w:sz w:val="22"/>
          <w:szCs w:val="22"/>
        </w:rPr>
        <w:t xml:space="preserve"> EQUIVOCAL (See Comment)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kern w:val="0"/>
          <w:sz w:val="22"/>
          <w:szCs w:val="22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kern w:val="0"/>
          <w:sz w:val="22"/>
          <w:szCs w:val="22"/>
        </w:rPr>
        <w:t>Interpretation</w:t>
      </w:r>
      <w:r>
        <w:rPr>
          <w:rFonts w:cs="Arial" w:ascii="Arial" w:hAnsi="Arial"/>
          <w:kern w:val="0"/>
          <w:sz w:val="22"/>
          <w:szCs w:val="22"/>
        </w:rPr>
        <w:t>: % membranous tumoral with moderate/strong staining - Negative (&lt; 75%), Positive (&gt;= 75%)</w:t>
      </w:r>
    </w:p>
    <w:p>
      <w:pPr>
        <w:pStyle w:val="Normal"/>
        <w:spacing w:lineRule="auto" w:line="240" w:before="0" w:after="0"/>
        <w:rPr>
          <w:rFonts w:ascii="Arial" w:hAnsi="Arial" w:cs="Arial"/>
          <w:kern w:val="0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kern w:val="0"/>
          <w:sz w:val="22"/>
          <w:szCs w:val="22"/>
        </w:rPr>
        <w:t xml:space="preserve">Batch control: </w:t>
      </w:r>
      <w:r>
        <w:rPr>
          <w:rFonts w:cs="Arial" w:ascii="Arial" w:hAnsi="Arial"/>
          <w:b/>
          <w:bCs/>
          <w:kern w:val="0"/>
          <w:sz w:val="22"/>
          <w:szCs w:val="22"/>
        </w:rPr>
        <w:t>Adequate</w:t>
      </w:r>
      <w:r>
        <w:rPr>
          <w:rFonts w:cs="Arial" w:ascii="Arial" w:hAnsi="Arial"/>
          <w:kern w:val="0"/>
          <w:sz w:val="22"/>
          <w:szCs w:val="22"/>
        </w:rPr>
        <w:t xml:space="preserve">; on slide controls: </w:t>
      </w:r>
      <w:r>
        <w:rPr>
          <w:rFonts w:cs="Arial" w:ascii="Arial" w:hAnsi="Arial"/>
          <w:b/>
          <w:bCs/>
          <w:kern w:val="0"/>
          <w:sz w:val="22"/>
          <w:szCs w:val="22"/>
        </w:rPr>
        <w:t>Adequate</w:t>
      </w:r>
      <w:r>
        <w:rPr>
          <w:rFonts w:cs="Arial" w:ascii="Arial" w:hAnsi="Arial"/>
          <w:kern w:val="0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kern w:val="0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  <w:t>Disclaimer: Based on the CLDN18.2-positive status, this patient may be eligible for treatment with VYLOY™ (Zolbetuximab)—a CLDN18.2-directed cytolytic antibody—in combination with fluoropyrimidine- and platinum-containing chemotherapy. This therapeutic regimen is indicated for the first-line treatment of adults with locally advanced unresectable or metastatic HER2-negative gastric or gastroesophageal junction (GEJ) adenocarcinoma.</w:t>
        <w:br/>
        <w:br/>
        <w:t>Shitara, K., et al. (2023).</w:t>
        <w:br/>
        <w:t>Zolbetuximab plus mFOLFOX6 in Claudin 18.2–Positive, HER2-Negative, Locally Advanced or Metastatic Gastric or Gastroesophageal Junction Adenocarcinoma (SPOTLIGHT): A Randomized, Double-Blind, Phase 3 Trial. The Lancet, 401(10374), 1655–1668.https://doi.org/10.1016/S0140-6736(23)00498-7</w:t>
      </w:r>
    </w:p>
    <w:p>
      <w:pPr>
        <w:pStyle w:val="Normal"/>
        <w:spacing w:lineRule="auto" w:line="240" w:before="0" w:after="0"/>
        <w:rPr>
          <w:rFonts w:ascii="Arial" w:hAnsi="Arial" w:cs="Arial"/>
          <w:kern w:val="0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cs="Arial"/>
          <w:kern w:val="0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  <w:t>Test ID: BMCLAUDIN18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DejaVu Sans"/>
        <w:kern w:val="2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160"/>
      <w:jc w:val="left"/>
    </w:pPr>
    <w:rPr>
      <w:rFonts w:ascii="Aptos" w:hAnsi="Aptos" w:eastAsia="Aptos" w:cs="DejaVu Sans"/>
      <w:color w:val="auto"/>
      <w:kern w:val="2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360" w:after="80"/>
      <w:outlineLvl w:val="0"/>
    </w:pPr>
    <w:rPr>
      <w:rFonts w:ascii="Aptos Display" w:hAnsi="Aptos Display" w:eastAsia="Aptos" w:cs="DejaVu Sans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160" w:after="80"/>
      <w:outlineLvl w:val="1"/>
    </w:pPr>
    <w:rPr>
      <w:rFonts w:ascii="Aptos Display" w:hAnsi="Aptos Display" w:eastAsia="Aptos" w:cs="DejaVu Sans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160" w:after="80"/>
      <w:outlineLvl w:val="2"/>
    </w:pPr>
    <w:rPr>
      <w:rFonts w:eastAsia="Aptos" w:cs="DejaVu San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80" w:after="40"/>
      <w:outlineLvl w:val="3"/>
    </w:pPr>
    <w:rPr>
      <w:rFonts w:eastAsia="Aptos" w:cs="DejaVu Sans"/>
      <w:i/>
      <w:iCs/>
      <w:color w:val="0F4761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80" w:after="40"/>
      <w:outlineLvl w:val="4"/>
    </w:pPr>
    <w:rPr>
      <w:rFonts w:eastAsia="Aptos" w:cs="DejaVu Sans"/>
      <w:color w:val="0F4761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eastAsia="Aptos" w:cs="DejaVu Sans"/>
      <w:i/>
      <w:iCs/>
      <w:color w:val="595959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eastAsia="Aptos" w:cs="DejaVu Sans"/>
      <w:color w:val="595959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0" w:after="0"/>
      <w:outlineLvl w:val="7"/>
    </w:pPr>
    <w:rPr>
      <w:rFonts w:eastAsia="Aptos" w:cs="DejaVu Sans"/>
      <w:i/>
      <w:iCs/>
      <w:color w:val="272727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0" w:after="0"/>
      <w:outlineLvl w:val="8"/>
    </w:pPr>
    <w:rPr>
      <w:rFonts w:eastAsia="Aptos" w:cs="DejaVu Sans"/>
      <w:color w:val="272727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Aptos Display" w:hAnsi="Aptos Display" w:eastAsia="Aptos" w:cs="DejaVu Sans"/>
      <w:color w:val="0F4761"/>
      <w:sz w:val="40"/>
      <w:szCs w:val="40"/>
    </w:rPr>
  </w:style>
  <w:style w:type="character" w:styleId="Heading2Char">
    <w:name w:val="Heading 2 Char"/>
    <w:basedOn w:val="DefaultParagraphFont"/>
    <w:link w:val="Heading2"/>
    <w:qFormat/>
    <w:rPr>
      <w:rFonts w:ascii="Aptos Display" w:hAnsi="Aptos Display" w:eastAsia="Aptos" w:cs="DejaVu Sans"/>
      <w:color w:val="0F4761"/>
      <w:sz w:val="32"/>
      <w:szCs w:val="32"/>
    </w:rPr>
  </w:style>
  <w:style w:type="character" w:styleId="Heading3Char">
    <w:name w:val="Heading 3 Char"/>
    <w:basedOn w:val="DefaultParagraphFont"/>
    <w:link w:val="Heading3"/>
    <w:qFormat/>
    <w:rPr>
      <w:rFonts w:eastAsia="Aptos" w:cs="DejaVu Sans"/>
      <w:color w:val="0F4761"/>
      <w:sz w:val="28"/>
      <w:szCs w:val="28"/>
    </w:rPr>
  </w:style>
  <w:style w:type="character" w:styleId="Heading4Char">
    <w:name w:val="Heading 4 Char"/>
    <w:basedOn w:val="DefaultParagraphFont"/>
    <w:link w:val="Heading4"/>
    <w:qFormat/>
    <w:rPr>
      <w:rFonts w:eastAsia="Aptos" w:cs="DejaVu Sans"/>
      <w:i/>
      <w:iCs/>
      <w:color w:val="0F4761"/>
    </w:rPr>
  </w:style>
  <w:style w:type="character" w:styleId="Heading5Char">
    <w:name w:val="Heading 5 Char"/>
    <w:basedOn w:val="DefaultParagraphFont"/>
    <w:link w:val="Heading5"/>
    <w:qFormat/>
    <w:rPr>
      <w:rFonts w:eastAsia="Aptos" w:cs="DejaVu Sans"/>
      <w:color w:val="0F4761"/>
    </w:rPr>
  </w:style>
  <w:style w:type="character" w:styleId="Heading6Char">
    <w:name w:val="Heading 6 Char"/>
    <w:basedOn w:val="DefaultParagraphFont"/>
    <w:link w:val="Heading6"/>
    <w:qFormat/>
    <w:rPr>
      <w:rFonts w:eastAsia="Aptos" w:cs="DejaVu Sans"/>
      <w:i/>
      <w:iCs/>
      <w:color w:val="595959"/>
    </w:rPr>
  </w:style>
  <w:style w:type="character" w:styleId="Heading7Char">
    <w:name w:val="Heading 7 Char"/>
    <w:basedOn w:val="DefaultParagraphFont"/>
    <w:link w:val="Heading7"/>
    <w:qFormat/>
    <w:rPr>
      <w:rFonts w:eastAsia="Aptos" w:cs="DejaVu Sans"/>
      <w:color w:val="595959"/>
    </w:rPr>
  </w:style>
  <w:style w:type="character" w:styleId="Heading8Char">
    <w:name w:val="Heading 8 Char"/>
    <w:basedOn w:val="DefaultParagraphFont"/>
    <w:link w:val="Heading8"/>
    <w:qFormat/>
    <w:rPr>
      <w:rFonts w:eastAsia="Aptos" w:cs="DejaVu Sans"/>
      <w:i/>
      <w:iCs/>
      <w:color w:val="272727"/>
    </w:rPr>
  </w:style>
  <w:style w:type="character" w:styleId="Heading9Char">
    <w:name w:val="Heading 9 Char"/>
    <w:basedOn w:val="DefaultParagraphFont"/>
    <w:link w:val="Heading9"/>
    <w:qFormat/>
    <w:rPr>
      <w:rFonts w:eastAsia="Aptos" w:cs="DejaVu Sans"/>
      <w:color w:val="272727"/>
    </w:rPr>
  </w:style>
  <w:style w:type="character" w:styleId="TitleChar">
    <w:name w:val="Title Char"/>
    <w:basedOn w:val="DefaultParagraphFont"/>
    <w:link w:val="Title"/>
    <w:qFormat/>
    <w:rPr>
      <w:rFonts w:ascii="Aptos Display" w:hAnsi="Aptos Display" w:eastAsia="Aptos" w:cs="DejaVu Sans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link w:val="Subtitle"/>
    <w:qFormat/>
    <w:rPr>
      <w:rFonts w:eastAsia="Aptos" w:cs="DejaVu Sans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>
    <w:name w:val="Intense Quote Char"/>
    <w:basedOn w:val="DefaultParagraphFont"/>
    <w:link w:val="IntenseQuote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styleId="Internet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qFormat/>
    <w:pPr>
      <w:spacing w:lineRule="auto" w:line="240" w:before="0" w:after="80"/>
      <w:contextualSpacing/>
    </w:pPr>
    <w:rPr>
      <w:rFonts w:ascii="Aptos Display" w:hAnsi="Aptos Display" w:eastAsia="Aptos" w:cs="DejaVu Sans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pPr/>
    <w:rPr>
      <w:rFonts w:eastAsia="Aptos" w:cs="DejaVu Sans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LibreOffice/7.3.7.2$Linux_X86_64 LibreOffice_project/30$Build-2</Application>
  <AppVersion>15.0000</AppVersion>
  <Pages>1</Pages>
  <Words>149</Words>
  <Characters>1098</Characters>
  <CharactersWithSpaces>1241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2026-04-07T16:34:00Z</dcterms:created>
  <dc:creator>Gilbert Bigras</dc:creator>
  <dc:description/>
  <dc:language>en-CA</dc:language>
  <cp:lastModifiedBy>Gilbert Bigras</cp:lastModifiedBy>
  <dcterms:modified xsi:type="dcterms:W3CDTF">2026-04-07T14:47:55Z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