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b/>
          <w:b/>
          <w:bCs/>
          <w:kern w:val="0"/>
          <w:sz w:val="20"/>
          <w:szCs w:val="20"/>
        </w:rPr>
      </w:pPr>
      <w:r>
        <w:rPr>
          <w:rFonts w:cs="Arial" w:ascii="Arial" w:hAnsi="Arial"/>
          <w:b/>
          <w:bCs/>
          <w:kern w:val="0"/>
          <w:sz w:val="20"/>
          <w:szCs w:val="20"/>
        </w:rPr>
        <w:t>PD-L1 IHC BIOMARKER – NON-REPORTABLE</w:t>
      </w:r>
    </w:p>
    <w:p>
      <w:pPr>
        <w:pStyle w:val="Normal"/>
        <w:spacing w:lineRule="auto" w:line="240" w:before="0" w:after="0"/>
        <w:jc w:val="both"/>
        <w:rPr>
          <w:rFonts w:ascii="Arial" w:hAnsi="Arial" w:cs="Arial"/>
          <w:kern w:val="0"/>
          <w:sz w:val="20"/>
          <w:szCs w:val="20"/>
        </w:rPr>
      </w:pPr>
      <w:r>
        <w:rPr>
          <w:rFonts w:cs="Arial" w:ascii="Arial" w:hAnsi="Arial"/>
          <w:kern w:val="0"/>
          <w:sz w:val="20"/>
          <w:szCs w:val="20"/>
        </w:rPr>
        <w:t>Comment: PD-L1 has been requested on this case; however, the result cannot be reported for one of the following reasons:</w:t>
      </w:r>
    </w:p>
    <w:p>
      <w:pPr>
        <w:pStyle w:val="Normal"/>
        <w:numPr>
          <w:ilvl w:val="0"/>
          <w:numId w:val="1"/>
        </w:numPr>
        <w:spacing w:lineRule="auto" w:line="240" w:before="0" w:after="0"/>
        <w:jc w:val="both"/>
        <w:rPr>
          <w:rFonts w:ascii="Arial" w:hAnsi="Arial" w:cs="Arial"/>
          <w:kern w:val="0"/>
          <w:sz w:val="20"/>
          <w:szCs w:val="20"/>
        </w:rPr>
      </w:pPr>
      <w:r>
        <w:rPr>
          <w:rFonts w:cs="Arial" w:ascii="Arial" w:hAnsi="Arial"/>
          <w:kern w:val="0"/>
          <w:sz w:val="20"/>
          <w:szCs w:val="20"/>
        </w:rPr>
        <w:t>PD-L1 immunohistochemistry testing has been validated only for tissue fixed in 10% neutral buffered formalin (NBF) for 12 to 72 hours.</w:t>
      </w:r>
    </w:p>
    <w:p>
      <w:pPr>
        <w:pStyle w:val="Normal"/>
        <w:numPr>
          <w:ilvl w:val="0"/>
          <w:numId w:val="1"/>
        </w:numPr>
        <w:spacing w:lineRule="auto" w:line="240" w:before="0" w:after="0"/>
        <w:jc w:val="both"/>
        <w:rPr>
          <w:rFonts w:ascii="Arial" w:hAnsi="Arial" w:cs="Arial"/>
          <w:kern w:val="0"/>
          <w:sz w:val="20"/>
          <w:szCs w:val="20"/>
        </w:rPr>
      </w:pPr>
      <w:r>
        <w:rPr>
          <w:rFonts w:cs="Arial" w:ascii="Arial" w:hAnsi="Arial"/>
          <w:kern w:val="0"/>
          <w:sz w:val="20"/>
          <w:szCs w:val="20"/>
        </w:rPr>
        <w:t>The sample lacks the minimum of 100 cells.</w:t>
      </w:r>
    </w:p>
    <w:p>
      <w:pPr>
        <w:pStyle w:val="Normal"/>
        <w:numPr>
          <w:ilvl w:val="0"/>
          <w:numId w:val="1"/>
        </w:numPr>
        <w:spacing w:lineRule="auto" w:line="240" w:before="0" w:after="0"/>
        <w:jc w:val="both"/>
        <w:rPr>
          <w:rFonts w:ascii="Arial" w:hAnsi="Arial" w:cs="Arial"/>
          <w:kern w:val="0"/>
          <w:sz w:val="20"/>
          <w:szCs w:val="20"/>
        </w:rPr>
      </w:pPr>
      <w:r>
        <w:rPr>
          <w:rFonts w:cs="Arial" w:ascii="Arial" w:hAnsi="Arial"/>
          <w:kern w:val="0"/>
          <w:sz w:val="20"/>
          <w:szCs w:val="20"/>
        </w:rPr>
        <w:t>Tissue samples fixed for shorter or longer times in NBF, other fixatives, with extended ischemic time, or treated with microwaves or decalcification, cannot be used for this testing.</w:t>
      </w:r>
    </w:p>
    <w:p>
      <w:pPr>
        <w:pStyle w:val="Normal"/>
        <w:numPr>
          <w:ilvl w:val="0"/>
          <w:numId w:val="1"/>
        </w:numPr>
        <w:spacing w:lineRule="auto" w:line="240" w:before="0" w:after="0"/>
        <w:jc w:val="both"/>
        <w:rPr>
          <w:rFonts w:ascii="Arial" w:hAnsi="Arial" w:cs="Arial"/>
          <w:kern w:val="0"/>
          <w:sz w:val="20"/>
          <w:szCs w:val="20"/>
        </w:rPr>
      </w:pPr>
      <w:r>
        <w:rPr>
          <w:rFonts w:cs="Arial" w:ascii="Arial" w:hAnsi="Arial"/>
          <w:kern w:val="0"/>
          <w:sz w:val="20"/>
          <w:szCs w:val="20"/>
        </w:rPr>
        <w:t xml:space="preserve">PD-L1 assays (such as 22-C3, 28-8, and SP263) are not interchangeable and cannot be substituted for each other. </w:t>
      </w:r>
    </w:p>
    <w:p>
      <w:pPr>
        <w:pStyle w:val="Normal"/>
        <w:numPr>
          <w:ilvl w:val="0"/>
          <w:numId w:val="1"/>
        </w:numPr>
        <w:spacing w:lineRule="auto" w:line="240" w:before="0" w:after="0"/>
        <w:jc w:val="both"/>
        <w:rPr>
          <w:rFonts w:ascii="Arial" w:hAnsi="Arial" w:cs="Arial"/>
          <w:kern w:val="0"/>
          <w:sz w:val="20"/>
          <w:szCs w:val="20"/>
        </w:rPr>
      </w:pPr>
      <w:r>
        <w:rPr>
          <w:rFonts w:cs="Arial" w:ascii="Arial" w:hAnsi="Arial"/>
          <w:kern w:val="0"/>
          <w:sz w:val="20"/>
          <w:szCs w:val="20"/>
        </w:rPr>
        <w:t>PD-L1 tests cannot be reported for malignancies of unknown primary since the location of the primary dictates whether the testing is indicated and which scoring system is used to report the result.</w:t>
      </w:r>
    </w:p>
    <w:p>
      <w:pPr>
        <w:pStyle w:val="Normal"/>
        <w:numPr>
          <w:ilvl w:val="0"/>
          <w:numId w:val="1"/>
        </w:numPr>
        <w:spacing w:lineRule="auto" w:line="240" w:before="0" w:after="0"/>
        <w:jc w:val="both"/>
        <w:rPr>
          <w:rFonts w:ascii="Arial" w:hAnsi="Arial" w:cs="Arial"/>
          <w:kern w:val="0"/>
          <w:sz w:val="20"/>
          <w:szCs w:val="20"/>
        </w:rPr>
      </w:pPr>
      <w:r>
        <w:rPr>
          <w:rFonts w:cs="Arial" w:ascii="Arial" w:hAnsi="Arial"/>
          <w:kern w:val="0"/>
          <w:sz w:val="20"/>
          <w:szCs w:val="20"/>
        </w:rPr>
        <w:t>PD-L1 tests cannot be reported for cancer types for which the testing is not yet approved in Alberta. For more information on which drugs require the testing, please visit the following links:</w:t>
      </w:r>
    </w:p>
    <w:p>
      <w:pPr>
        <w:pStyle w:val="Normal"/>
        <w:numPr>
          <w:ilvl w:val="1"/>
          <w:numId w:val="1"/>
        </w:numPr>
        <w:spacing w:lineRule="auto" w:line="240" w:before="0" w:after="0"/>
        <w:jc w:val="both"/>
        <w:rPr>
          <w:rFonts w:ascii="Arial" w:hAnsi="Arial" w:cs="Arial"/>
          <w:kern w:val="0"/>
          <w:sz w:val="20"/>
          <w:szCs w:val="20"/>
        </w:rPr>
      </w:pPr>
      <w:hyperlink r:id="rId2">
        <w:r>
          <w:rPr>
            <w:rFonts w:cs="Arial" w:ascii="Arial" w:hAnsi="Arial"/>
            <w:color w:val="467886"/>
            <w:kern w:val="0"/>
            <w:sz w:val="20"/>
            <w:szCs w:val="20"/>
            <w:u w:val="single"/>
          </w:rPr>
          <w:t>https://www.albertahealthservices.ca/assets/programs/ps-1025651-drug-benefit-list.pdf</w:t>
        </w:r>
      </w:hyperlink>
    </w:p>
    <w:p>
      <w:pPr>
        <w:pStyle w:val="Normal"/>
        <w:numPr>
          <w:ilvl w:val="1"/>
          <w:numId w:val="1"/>
        </w:numPr>
        <w:spacing w:lineRule="auto" w:line="240" w:before="0" w:after="0"/>
        <w:jc w:val="both"/>
        <w:rPr>
          <w:rFonts w:ascii="Arial" w:hAnsi="Arial" w:cs="Arial"/>
          <w:kern w:val="0"/>
          <w:sz w:val="20"/>
          <w:szCs w:val="20"/>
        </w:rPr>
      </w:pPr>
      <w:hyperlink r:id="rId3">
        <w:r>
          <w:rPr>
            <w:rFonts w:cs="Arial" w:ascii="Arial" w:hAnsi="Arial"/>
            <w:color w:val="467886"/>
            <w:kern w:val="0"/>
            <w:sz w:val="20"/>
            <w:szCs w:val="20"/>
            <w:u w:val="single"/>
          </w:rPr>
          <w:t>https://www.pdl1alberta.com</w:t>
        </w:r>
      </w:hyperlink>
    </w:p>
    <w:p>
      <w:pPr>
        <w:pStyle w:val="Normal"/>
        <w:numPr>
          <w:ilvl w:val="0"/>
          <w:numId w:val="0"/>
        </w:numPr>
        <w:spacing w:lineRule="auto" w:line="240" w:before="0" w:after="0"/>
        <w:ind w:left="0" w:hanging="0"/>
        <w:jc w:val="both"/>
        <w:rPr>
          <w:rFonts w:ascii="Arial" w:hAnsi="Arial" w:cs="Arial"/>
          <w:kern w:val="0"/>
          <w:sz w:val="20"/>
          <w:szCs w:val="20"/>
        </w:rPr>
      </w:pPr>
      <w:r>
        <w:rPr>
          <w:rFonts w:cs="Arial" w:ascii="Arial" w:hAnsi="Arial"/>
          <w:kern w:val="0"/>
          <w:sz w:val="20"/>
          <w:szCs w:val="20"/>
        </w:rPr>
      </w:r>
    </w:p>
    <w:p>
      <w:pPr>
        <w:pStyle w:val="Normal"/>
        <w:numPr>
          <w:ilvl w:val="0"/>
          <w:numId w:val="0"/>
        </w:numPr>
        <w:spacing w:lineRule="auto" w:line="240" w:before="0" w:after="0"/>
        <w:ind w:left="0" w:hanging="0"/>
        <w:jc w:val="both"/>
        <w:rPr>
          <w:rFonts w:ascii="Arial" w:hAnsi="Arial" w:cs="Arial"/>
          <w:kern w:val="0"/>
          <w:sz w:val="20"/>
          <w:szCs w:val="20"/>
        </w:rPr>
      </w:pPr>
      <w:r>
        <w:rPr>
          <w:rFonts w:cs="Arial" w:ascii="Arial" w:hAnsi="Arial"/>
          <w:kern w:val="0"/>
          <w:sz w:val="20"/>
          <w:szCs w:val="20"/>
        </w:rPr>
        <w:t>Test ID: MDHPDL1NONREPORTABLE</w:t>
      </w:r>
    </w:p>
    <w:p>
      <w:pPr>
        <w:pStyle w:val="Normal"/>
        <w:spacing w:before="0" w:after="160"/>
        <w:rPr>
          <w:rFonts w:ascii="Arial" w:hAnsi="Arial" w:cs="Arial"/>
          <w:kern w:val="0"/>
          <w:sz w:val="22"/>
          <w:szCs w:val="22"/>
        </w:rPr>
      </w:pPr>
      <w:r>
        <w:rPr/>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720"/>
      </w:pPr>
      <w:rPr>
        <w:rFonts w:ascii="Symbol" w:hAnsi="Symbol" w:cs="Symbol" w:hint="default"/>
        <w:sz w:val="20"/>
        <w:szCs w:val="20"/>
      </w:rPr>
    </w:lvl>
    <w:lvl w:ilvl="1">
      <w:start w:val="1"/>
      <w:numFmt w:val="bullet"/>
      <w:lvlText w:val="o"/>
      <w:lvlJc w:val="left"/>
      <w:pPr>
        <w:tabs>
          <w:tab w:val="num" w:pos="0"/>
        </w:tabs>
        <w:ind w:left="720" w:hanging="360"/>
      </w:pPr>
      <w:rPr>
        <w:rFonts w:ascii="Courier New" w:hAnsi="Courier New" w:cs="Courier New" w:hint="default"/>
        <w:sz w:val="20"/>
        <w:szCs w:val="20"/>
      </w:rPr>
    </w:lvl>
    <w:lvl w:ilvl="2">
      <w:start w:val="1"/>
      <w:numFmt w:val="bullet"/>
      <w:lvlText w:val=""/>
      <w:lvlJc w:val="left"/>
      <w:pPr>
        <w:tabs>
          <w:tab w:val="num" w:pos="0"/>
        </w:tabs>
        <w:ind w:left="0" w:hanging="0"/>
      </w:pPr>
      <w:rPr>
        <w:rFonts w:ascii="Wingdings" w:hAnsi="Wingdings" w:cs="Wingdings" w:hint="default"/>
        <w:sz w:val="20"/>
        <w:szCs w:val="20"/>
      </w:rPr>
    </w:lvl>
    <w:lvl w:ilvl="3">
      <w:start w:val="1"/>
      <w:numFmt w:val="bullet"/>
      <w:lvlText w:val=""/>
      <w:lvlJc w:val="left"/>
      <w:pPr>
        <w:tabs>
          <w:tab w:val="num" w:pos="0"/>
        </w:tabs>
        <w:ind w:left="0" w:hanging="0"/>
      </w:pPr>
      <w:rPr>
        <w:rFonts w:ascii="Symbol" w:hAnsi="Symbol" w:cs="Symbol" w:hint="default"/>
        <w:sz w:val="20"/>
        <w:szCs w:val="20"/>
      </w:rPr>
    </w:lvl>
    <w:lvl w:ilvl="4">
      <w:start w:val="1"/>
      <w:numFmt w:val="bullet"/>
      <w:lvlText w:val="o"/>
      <w:lvlJc w:val="left"/>
      <w:pPr>
        <w:tabs>
          <w:tab w:val="num" w:pos="0"/>
        </w:tabs>
        <w:ind w:left="0" w:hanging="0"/>
      </w:pPr>
      <w:rPr>
        <w:rFonts w:ascii="Courier New" w:hAnsi="Courier New" w:cs="Courier New" w:hint="default"/>
        <w:sz w:val="20"/>
        <w:szCs w:val="20"/>
      </w:rPr>
    </w:lvl>
    <w:lvl w:ilvl="5">
      <w:start w:val="1"/>
      <w:numFmt w:val="bullet"/>
      <w:lvlText w:val=""/>
      <w:lvlJc w:val="left"/>
      <w:pPr>
        <w:tabs>
          <w:tab w:val="num" w:pos="0"/>
        </w:tabs>
        <w:ind w:left="0" w:hanging="0"/>
      </w:pPr>
      <w:rPr>
        <w:rFonts w:ascii="Wingdings" w:hAnsi="Wingdings" w:cs="Wingdings" w:hint="default"/>
        <w:sz w:val="20"/>
        <w:szCs w:val="20"/>
      </w:rPr>
    </w:lvl>
    <w:lvl w:ilvl="6">
      <w:start w:val="1"/>
      <w:numFmt w:val="bullet"/>
      <w:lvlText w:val=""/>
      <w:lvlJc w:val="left"/>
      <w:pPr>
        <w:tabs>
          <w:tab w:val="num" w:pos="0"/>
        </w:tabs>
        <w:ind w:left="0" w:hanging="0"/>
      </w:pPr>
      <w:rPr>
        <w:rFonts w:ascii="Symbol" w:hAnsi="Symbol" w:cs="Symbol" w:hint="default"/>
        <w:sz w:val="20"/>
        <w:szCs w:val="20"/>
      </w:rPr>
    </w:lvl>
    <w:lvl w:ilvl="7">
      <w:start w:val="1"/>
      <w:numFmt w:val="bullet"/>
      <w:lvlText w:val="o"/>
      <w:lvlJc w:val="left"/>
      <w:pPr>
        <w:tabs>
          <w:tab w:val="num" w:pos="0"/>
        </w:tabs>
        <w:ind w:left="0" w:hanging="0"/>
      </w:pPr>
      <w:rPr>
        <w:rFonts w:ascii="Courier New" w:hAnsi="Courier New" w:cs="Courier New" w:hint="default"/>
        <w:sz w:val="20"/>
        <w:szCs w:val="20"/>
      </w:rPr>
    </w:lvl>
    <w:lvl w:ilvl="8">
      <w:start w:val="1"/>
      <w:numFmt w:val="bullet"/>
      <w:lvlText w:val=""/>
      <w:lvlJc w:val="left"/>
      <w:pPr>
        <w:tabs>
          <w:tab w:val="num" w:pos="0"/>
        </w:tabs>
        <w:ind w:left="0" w:hanging="0"/>
      </w:pPr>
      <w:rPr>
        <w:rFonts w:ascii="Wingdings" w:hAnsi="Wingdings" w:cs="Wingdings" w:hint="default"/>
        <w:sz w:val="20"/>
        <w:szCs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b8601e"/>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b8601e"/>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b8601e"/>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b8601e"/>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b8601e"/>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b8601e"/>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b8601e"/>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b8601e"/>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b8601e"/>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b8601e"/>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b8601e"/>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b8601e"/>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b8601e"/>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b8601e"/>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b8601e"/>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b8601e"/>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b8601e"/>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b8601e"/>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b8601e"/>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8601e"/>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b8601e"/>
    <w:rPr>
      <w:i/>
      <w:iCs/>
      <w:color w:val="404040" w:themeColor="text1" w:themeTint="bf"/>
    </w:rPr>
  </w:style>
  <w:style w:type="character" w:styleId="IntenseEmphasis">
    <w:name w:val="Intense Emphasis"/>
    <w:basedOn w:val="DefaultParagraphFont"/>
    <w:uiPriority w:val="21"/>
    <w:qFormat/>
    <w:rsid w:val="00b8601e"/>
    <w:rPr>
      <w:i/>
      <w:iCs/>
      <w:color w:val="0F4761" w:themeColor="accent1" w:themeShade="bf"/>
    </w:rPr>
  </w:style>
  <w:style w:type="character" w:styleId="IntenseQuoteChar" w:customStyle="1">
    <w:name w:val="Intense Quote Char"/>
    <w:basedOn w:val="DefaultParagraphFont"/>
    <w:link w:val="IntenseQuote"/>
    <w:uiPriority w:val="30"/>
    <w:qFormat/>
    <w:rsid w:val="00b8601e"/>
    <w:rPr>
      <w:i/>
      <w:iCs/>
      <w:color w:val="0F4761" w:themeColor="accent1" w:themeShade="bf"/>
    </w:rPr>
  </w:style>
  <w:style w:type="character" w:styleId="IntenseReference">
    <w:name w:val="Intense Reference"/>
    <w:basedOn w:val="DefaultParagraphFont"/>
    <w:uiPriority w:val="32"/>
    <w:qFormat/>
    <w:rsid w:val="00b8601e"/>
    <w:rPr>
      <w:b/>
      <w:bCs/>
      <w:smallCaps/>
      <w:color w:val="0F4761" w:themeColor="accent1" w:themeShade="bf"/>
      <w:spacing w:val="5"/>
    </w:rPr>
  </w:style>
  <w:style w:type="character" w:styleId="InternetLink">
    <w:name w:val="Hyperlink"/>
    <w:basedOn w:val="DefaultParagraphFont"/>
    <w:uiPriority w:val="99"/>
    <w:unhideWhenUsed/>
    <w:rsid w:val="00062849"/>
    <w:rPr>
      <w:color w:val="467886" w:themeColor="hyperlink"/>
      <w:u w:val="single"/>
    </w:rPr>
  </w:style>
  <w:style w:type="character" w:styleId="UnresolvedMention">
    <w:name w:val="Unresolved Mention"/>
    <w:basedOn w:val="DefaultParagraphFont"/>
    <w:uiPriority w:val="99"/>
    <w:semiHidden/>
    <w:unhideWhenUsed/>
    <w:qFormat/>
    <w:rsid w:val="00062849"/>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b8601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8601e"/>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b8601e"/>
    <w:pPr>
      <w:spacing w:before="160" w:after="160"/>
      <w:jc w:val="center"/>
    </w:pPr>
    <w:rPr>
      <w:i/>
      <w:iCs/>
      <w:color w:val="404040" w:themeColor="text1" w:themeTint="bf"/>
    </w:rPr>
  </w:style>
  <w:style w:type="paragraph" w:styleId="ListParagraph">
    <w:name w:val="List Paragraph"/>
    <w:basedOn w:val="Normal"/>
    <w:uiPriority w:val="34"/>
    <w:qFormat/>
    <w:rsid w:val="00b8601e"/>
    <w:pPr>
      <w:spacing w:before="0" w:after="160"/>
      <w:ind w:left="720" w:hanging="0"/>
      <w:contextualSpacing/>
    </w:pPr>
    <w:rPr/>
  </w:style>
  <w:style w:type="paragraph" w:styleId="IntenseQuote">
    <w:name w:val="Intense Quote"/>
    <w:basedOn w:val="Normal"/>
    <w:next w:val="Normal"/>
    <w:link w:val="IntenseQuoteChar"/>
    <w:uiPriority w:val="30"/>
    <w:qFormat/>
    <w:rsid w:val="00b8601e"/>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lbertahealthservices.ca/assets/programs/ps-1025651-drug-benefit-list.pdf" TargetMode="External"/><Relationship Id="rId3" Type="http://schemas.openxmlformats.org/officeDocument/2006/relationships/hyperlink" Target="https://www.pdl1alberta.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Application>LibreOffice/7.3.7.2$Linux_X86_64 LibreOffice_project/30$Build-2</Application>
  <AppVersion>15.0000</AppVersion>
  <Pages>1</Pages>
  <Words>176</Words>
  <Characters>1005</Characters>
  <CharactersWithSpaces>1164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2026-04-07T16:34:00Z</dcterms:created>
  <dc:creator>Gilbert Bigras</dc:creator>
  <dc:description/>
  <dc:language>en-CA</dc:language>
  <cp:lastModifiedBy>Gilbert Bigras</cp:lastModifiedBy>
  <dcterms:modified xsi:type="dcterms:W3CDTF">2026-04-07T15:03:39Z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