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b/>
          <w:b/>
          <w:bCs/>
          <w:kern w:val="0"/>
          <w:sz w:val="22"/>
          <w:szCs w:val="22"/>
          <w:u w:val="single"/>
        </w:rPr>
      </w:pPr>
      <w:r>
        <w:rPr>
          <w:rFonts w:cs="Arial" w:ascii="Arial" w:hAnsi="Arial"/>
          <w:b/>
          <w:bCs/>
          <w:kern w:val="0"/>
          <w:sz w:val="22"/>
          <w:szCs w:val="22"/>
          <w:u w:val="single"/>
        </w:rPr>
        <w:t>CEP17 SISH Ploidy Analysis</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t>Result: DIPLOID</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i/>
          <w:i/>
          <w:iCs/>
          <w:kern w:val="0"/>
          <w:sz w:val="22"/>
          <w:szCs w:val="22"/>
          <w:shd w:fill="FEFEFE" w:val="clear"/>
        </w:rPr>
      </w:pPr>
      <w:r>
        <w:rPr>
          <w:rFonts w:cs="Arial" w:ascii="Arial" w:hAnsi="Arial"/>
          <w:i/>
          <w:iCs/>
          <w:kern w:val="0"/>
          <w:sz w:val="22"/>
          <w:szCs w:val="22"/>
          <w:shd w:fill="FEFEFE" w:val="clear"/>
        </w:rPr>
        <w:t xml:space="preserve">Original block *** results: </w:t>
      </w:r>
    </w:p>
    <w:p>
      <w:pPr>
        <w:pStyle w:val="Normal"/>
        <w:spacing w:lineRule="auto" w:line="240" w:before="0" w:after="0"/>
        <w:rPr>
          <w:rFonts w:ascii="Arial" w:hAnsi="Arial" w:cs="Arial"/>
          <w:b/>
          <w:b/>
          <w:bCs/>
          <w:kern w:val="0"/>
          <w:sz w:val="22"/>
          <w:szCs w:val="22"/>
        </w:rPr>
      </w:pPr>
      <w:r>
        <w:rPr>
          <w:rFonts w:cs="Arial" w:ascii="Arial" w:hAnsi="Arial"/>
          <w:b/>
          <w:bCs/>
          <w:kern w:val="0"/>
          <w:sz w:val="22"/>
          <w:szCs w:val="22"/>
        </w:rPr>
      </w:r>
    </w:p>
    <w:tbl>
      <w:tblPr>
        <w:tblW w:w="8515" w:type="dxa"/>
        <w:jc w:val="left"/>
        <w:tblInd w:w="10" w:type="dxa"/>
        <w:tblLayout w:type="fixed"/>
        <w:tblCellMar>
          <w:top w:w="0" w:type="dxa"/>
          <w:left w:w="105" w:type="dxa"/>
          <w:bottom w:w="0" w:type="dxa"/>
          <w:right w:w="105" w:type="dxa"/>
        </w:tblCellMar>
      </w:tblPr>
      <w:tblGrid>
        <w:gridCol w:w="4691"/>
        <w:gridCol w:w="3824"/>
      </w:tblGrid>
      <w:tr>
        <w:trPr>
          <w:trHeight w:val="360" w:hRule="atLeast"/>
        </w:trPr>
        <w:tc>
          <w:tcPr>
            <w:tcW w:w="469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0" w:after="0"/>
              <w:jc w:val="right"/>
              <w:rPr>
                <w:rFonts w:ascii="Arial" w:hAnsi="Arial" w:cs="Arial"/>
                <w:b/>
                <w:b/>
                <w:bCs/>
                <w:kern w:val="0"/>
                <w:sz w:val="22"/>
                <w:szCs w:val="22"/>
              </w:rPr>
            </w:pPr>
            <w:r>
              <w:rPr>
                <w:rFonts w:cs="Arial" w:ascii="Arial" w:hAnsi="Arial"/>
                <w:b/>
                <w:bCs/>
                <w:kern w:val="0"/>
                <w:sz w:val="22"/>
                <w:szCs w:val="22"/>
              </w:rPr>
              <w:t>Number of Nuclei Counted</w:t>
            </w:r>
          </w:p>
        </w:tc>
        <w:tc>
          <w:tcPr>
            <w:tcW w:w="382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0" w:after="0"/>
              <w:rPr>
                <w:rFonts w:ascii="Arial" w:hAnsi="Arial" w:cs="Arial"/>
                <w:kern w:val="0"/>
                <w:sz w:val="22"/>
                <w:szCs w:val="22"/>
              </w:rPr>
            </w:pPr>
            <w:r>
              <w:rPr>
                <w:rFonts w:cs="Arial" w:ascii="Arial" w:hAnsi="Arial"/>
                <w:kern w:val="0"/>
                <w:sz w:val="22"/>
                <w:szCs w:val="22"/>
              </w:rPr>
              <w:t>50</w:t>
            </w:r>
          </w:p>
        </w:tc>
      </w:tr>
      <w:tr>
        <w:trPr>
          <w:trHeight w:val="360" w:hRule="atLeast"/>
        </w:trPr>
        <w:tc>
          <w:tcPr>
            <w:tcW w:w="469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0" w:after="0"/>
              <w:jc w:val="right"/>
              <w:rPr>
                <w:rFonts w:ascii="Arial" w:hAnsi="Arial" w:cs="Arial"/>
                <w:b/>
                <w:b/>
                <w:bCs/>
                <w:kern w:val="0"/>
                <w:sz w:val="22"/>
                <w:szCs w:val="22"/>
              </w:rPr>
            </w:pPr>
            <w:r>
              <w:rPr>
                <w:rFonts w:cs="Arial" w:ascii="Arial" w:hAnsi="Arial"/>
                <w:b/>
                <w:bCs/>
                <w:kern w:val="0"/>
                <w:sz w:val="22"/>
                <w:szCs w:val="22"/>
              </w:rPr>
              <w:t>Average Number of Signals per Nucleus</w:t>
            </w:r>
          </w:p>
        </w:tc>
        <w:tc>
          <w:tcPr>
            <w:tcW w:w="382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0" w:after="0"/>
              <w:rPr>
                <w:rFonts w:ascii="Arial" w:hAnsi="Arial" w:cs="Arial"/>
                <w:kern w:val="0"/>
                <w:sz w:val="22"/>
                <w:szCs w:val="22"/>
              </w:rPr>
            </w:pPr>
            <w:r>
              <w:rPr>
                <w:rFonts w:cs="Arial" w:ascii="Arial" w:hAnsi="Arial"/>
                <w:kern w:val="0"/>
                <w:sz w:val="22"/>
                <w:szCs w:val="22"/>
              </w:rPr>
              <w:t>***</w:t>
            </w:r>
          </w:p>
        </w:tc>
      </w:tr>
      <w:tr>
        <w:trPr>
          <w:trHeight w:val="360" w:hRule="atLeast"/>
        </w:trPr>
        <w:tc>
          <w:tcPr>
            <w:tcW w:w="469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0" w:after="0"/>
              <w:jc w:val="right"/>
              <w:rPr>
                <w:rFonts w:ascii="Arial" w:hAnsi="Arial" w:cs="Arial"/>
                <w:b/>
                <w:b/>
                <w:bCs/>
                <w:kern w:val="0"/>
                <w:sz w:val="22"/>
                <w:szCs w:val="22"/>
              </w:rPr>
            </w:pPr>
            <w:r>
              <w:rPr>
                <w:rFonts w:cs="Arial" w:ascii="Arial" w:hAnsi="Arial"/>
                <w:b/>
                <w:bCs/>
                <w:kern w:val="0"/>
                <w:sz w:val="22"/>
                <w:szCs w:val="22"/>
              </w:rPr>
              <w:t>Percentage of Nuclei with three signals</w:t>
            </w:r>
          </w:p>
        </w:tc>
        <w:tc>
          <w:tcPr>
            <w:tcW w:w="3824"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lineRule="auto" w:line="240" w:before="0" w:after="0"/>
              <w:rPr/>
            </w:pPr>
            <w:r>
              <w:rPr>
                <w:rFonts w:cs="Arial" w:ascii="Arial" w:hAnsi="Arial"/>
                <w:kern w:val="0"/>
                <w:sz w:val="22"/>
                <w:szCs w:val="22"/>
              </w:rPr>
              <w:t xml:space="preserve">*** </w:t>
            </w:r>
            <w:r>
              <w:rPr>
                <w:rFonts w:cs="Arial" w:ascii="Arial" w:hAnsi="Arial"/>
                <w:b/>
                <w:bCs/>
                <w:kern w:val="0"/>
                <w:sz w:val="22"/>
                <w:szCs w:val="22"/>
              </w:rPr>
              <w:t>%</w:t>
            </w:r>
          </w:p>
        </w:tc>
      </w:tr>
    </w:tbl>
    <w:p>
      <w:pPr>
        <w:pStyle w:val="Normal"/>
        <w:spacing w:lineRule="auto" w:line="240" w:before="0" w:after="0"/>
        <w:rPr>
          <w:rFonts w:ascii="Arial" w:hAnsi="Arial" w:cs="Arial"/>
          <w:i/>
          <w:i/>
          <w:iCs/>
          <w:kern w:val="0"/>
          <w:sz w:val="22"/>
          <w:szCs w:val="22"/>
        </w:rPr>
      </w:pPr>
      <w:r>
        <w:rPr>
          <w:rFonts w:cs="Arial" w:ascii="Arial" w:hAnsi="Arial"/>
          <w:i/>
          <w:iCs/>
          <w:kern w:val="0"/>
          <w:sz w:val="22"/>
          <w:szCs w:val="22"/>
        </w:rPr>
      </w:r>
    </w:p>
    <w:p>
      <w:pPr>
        <w:pStyle w:val="Normal"/>
        <w:spacing w:lineRule="auto" w:line="240" w:before="0" w:after="0"/>
        <w:rPr/>
      </w:pPr>
      <w:r>
        <w:rPr>
          <w:rFonts w:cs="Arial" w:ascii="Arial" w:hAnsi="Arial"/>
          <w:i/>
          <w:iCs/>
          <w:kern w:val="0"/>
          <w:sz w:val="22"/>
          <w:szCs w:val="22"/>
        </w:rPr>
        <w:t>Interpretation</w:t>
      </w:r>
      <w:r>
        <w:rPr>
          <w:rFonts w:cs="Arial" w:ascii="Arial" w:hAnsi="Arial"/>
          <w:kern w:val="0"/>
          <w:sz w:val="22"/>
          <w:szCs w:val="22"/>
        </w:rPr>
        <w:t>:</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 xml:space="preserve">A diploid DNA content is most frequently associated with a hydropic abortus. Diploidy can also be associated with a complete hydatidiform molar pregnancy. Correlation with clinical findings and morphology is recommended. </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i/>
          <w:i/>
          <w:iCs/>
          <w:kern w:val="0"/>
          <w:sz w:val="22"/>
          <w:szCs w:val="22"/>
        </w:rPr>
      </w:pPr>
      <w:r>
        <w:rPr>
          <w:rFonts w:cs="Arial" w:ascii="Arial" w:hAnsi="Arial"/>
          <w:i/>
          <w:iCs/>
          <w:kern w:val="0"/>
          <w:sz w:val="22"/>
          <w:szCs w:val="22"/>
        </w:rPr>
        <w:t>Scoring Guidelines (Galea et al):</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Average number of signals per nucleus (ASN):</w:t>
      </w:r>
    </w:p>
    <w:p>
      <w:pPr>
        <w:pStyle w:val="Normal"/>
        <w:spacing w:lineRule="auto" w:line="240" w:before="0" w:after="0"/>
        <w:rPr>
          <w:rFonts w:ascii="Arial" w:hAnsi="Arial" w:cs="Arial"/>
          <w:kern w:val="0"/>
          <w:sz w:val="22"/>
          <w:szCs w:val="22"/>
        </w:rPr>
      </w:pPr>
      <w:r>
        <w:rPr>
          <w:rFonts w:cs="Arial" w:ascii="Arial" w:hAnsi="Arial"/>
          <w:kern w:val="0"/>
          <w:sz w:val="22"/>
          <w:szCs w:val="22"/>
        </w:rPr>
        <w:t>ASN&lt;2.3 = diploid</w:t>
      </w:r>
    </w:p>
    <w:p>
      <w:pPr>
        <w:pStyle w:val="Normal"/>
        <w:spacing w:lineRule="auto" w:line="240" w:before="0" w:after="0"/>
        <w:rPr>
          <w:rFonts w:ascii="Arial" w:hAnsi="Arial" w:cs="Arial"/>
          <w:kern w:val="0"/>
          <w:sz w:val="22"/>
          <w:szCs w:val="22"/>
        </w:rPr>
      </w:pPr>
      <w:r>
        <w:rPr>
          <w:rFonts w:cs="Arial" w:ascii="Arial" w:hAnsi="Arial"/>
          <w:kern w:val="0"/>
          <w:sz w:val="22"/>
          <w:szCs w:val="22"/>
        </w:rPr>
        <w:t>ASN&gt;/=2.3 = triploid</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Percentage of nuclei with three signals (N3S):</w:t>
      </w:r>
    </w:p>
    <w:p>
      <w:pPr>
        <w:pStyle w:val="Normal"/>
        <w:spacing w:lineRule="auto" w:line="240" w:before="0" w:after="0"/>
        <w:rPr>
          <w:rFonts w:ascii="Arial" w:hAnsi="Arial" w:cs="Arial"/>
          <w:kern w:val="0"/>
          <w:sz w:val="22"/>
          <w:szCs w:val="22"/>
        </w:rPr>
      </w:pPr>
      <w:r>
        <w:rPr>
          <w:rFonts w:cs="Arial" w:ascii="Arial" w:hAnsi="Arial"/>
          <w:kern w:val="0"/>
          <w:sz w:val="22"/>
          <w:szCs w:val="22"/>
        </w:rPr>
        <w:t>N3S &lt;33.6 = diploid</w:t>
      </w:r>
    </w:p>
    <w:p>
      <w:pPr>
        <w:pStyle w:val="Normal"/>
        <w:spacing w:lineRule="auto" w:line="240" w:before="0" w:after="0"/>
        <w:rPr>
          <w:rFonts w:ascii="Arial" w:hAnsi="Arial" w:cs="Arial"/>
          <w:kern w:val="0"/>
          <w:sz w:val="22"/>
          <w:szCs w:val="22"/>
        </w:rPr>
      </w:pPr>
      <w:r>
        <w:rPr>
          <w:rFonts w:cs="Arial" w:ascii="Arial" w:hAnsi="Arial"/>
          <w:kern w:val="0"/>
          <w:sz w:val="22"/>
          <w:szCs w:val="22"/>
        </w:rPr>
        <w:t>N3S&gt;/=33.6 = triploid</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CEP17 signals are enumerated at 400x magnification in villous stromal cells, and/or cytotrophoblast, and/or syncytiotrophoblast. Overlapping and incomplete nuclei should be avoided. The number of signals per nucleus should be counted in 50 nuclei in at least five different fields if possible. Nuclei with the highest number of signals should be preferentially counted. The total number of signals in 50 nuclei divided by 50 gives the average number of signals per nucleus (ASN). The total number of nuclei showing three signals divided by 50 gives the percentage of cells with three signals (N3S). Internal diploid control: maternal decidua.</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Cutoff scores for ASN and N3S were selected as mean – 3 standard deviations; &gt;99.7% of triploid scores are expected to be above the cutoff. Trisomy 17 is a rare trisomy (1/132 spontaneous abortions under 12 weeks gestation age) which could result in a false positive triploid interpretation (Horiuchi et al).</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i/>
          <w:i/>
          <w:iCs/>
          <w:kern w:val="0"/>
          <w:sz w:val="22"/>
          <w:szCs w:val="22"/>
        </w:rPr>
      </w:pPr>
      <w:r>
        <w:rPr>
          <w:rFonts w:cs="Arial" w:ascii="Arial" w:hAnsi="Arial"/>
          <w:i/>
          <w:iCs/>
          <w:kern w:val="0"/>
          <w:sz w:val="22"/>
          <w:szCs w:val="22"/>
        </w:rPr>
        <w:t>Methodology:</w:t>
      </w:r>
    </w:p>
    <w:p>
      <w:pPr>
        <w:pStyle w:val="Normal"/>
        <w:spacing w:lineRule="auto" w:line="240" w:before="0" w:after="0"/>
        <w:rPr>
          <w:rFonts w:ascii="Arial" w:hAnsi="Arial" w:cs="Arial"/>
          <w:kern w:val="0"/>
          <w:sz w:val="22"/>
          <w:szCs w:val="22"/>
        </w:rPr>
      </w:pPr>
      <w:r>
        <w:rPr>
          <w:rFonts w:cs="Arial" w:ascii="Arial" w:hAnsi="Arial"/>
          <w:kern w:val="0"/>
          <w:sz w:val="22"/>
          <w:szCs w:val="22"/>
        </w:rPr>
        <w:t>Ventana Inform Chromosome 17 probe</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i/>
          <w:i/>
          <w:iCs/>
          <w:kern w:val="0"/>
          <w:sz w:val="22"/>
          <w:szCs w:val="22"/>
        </w:rPr>
      </w:pPr>
      <w:r>
        <w:rPr>
          <w:rFonts w:cs="Arial" w:ascii="Arial" w:hAnsi="Arial"/>
          <w:i/>
          <w:iCs/>
          <w:kern w:val="0"/>
          <w:sz w:val="22"/>
          <w:szCs w:val="22"/>
        </w:rPr>
        <w:t>References:</w:t>
      </w:r>
    </w:p>
    <w:p>
      <w:pPr>
        <w:pStyle w:val="Normal"/>
        <w:spacing w:lineRule="auto" w:line="240" w:before="0" w:after="0"/>
        <w:rPr>
          <w:rFonts w:ascii="Arial" w:hAnsi="Arial" w:cs="Arial"/>
          <w:kern w:val="0"/>
          <w:sz w:val="22"/>
          <w:szCs w:val="22"/>
        </w:rPr>
      </w:pPr>
      <w:r>
        <w:rPr>
          <w:rFonts w:cs="Arial" w:ascii="Arial" w:hAnsi="Arial"/>
          <w:kern w:val="0"/>
          <w:sz w:val="22"/>
          <w:szCs w:val="22"/>
        </w:rPr>
        <w:t>1. Galea et al. Development of a silver in situ hybridization assay for the determination of ploidy status in molar pregnancy diagnosis. Pathology. 2014. 46 (1):15-20.</w:t>
      </w:r>
    </w:p>
    <w:p>
      <w:pPr>
        <w:pStyle w:val="Normal"/>
        <w:spacing w:lineRule="auto" w:line="240" w:before="0" w:after="0"/>
        <w:rPr>
          <w:rFonts w:ascii="Arial" w:hAnsi="Arial" w:cs="Arial"/>
          <w:kern w:val="0"/>
          <w:sz w:val="22"/>
          <w:szCs w:val="22"/>
        </w:rPr>
      </w:pPr>
      <w:r>
        <w:rPr>
          <w:rFonts w:cs="Arial" w:ascii="Arial" w:hAnsi="Arial"/>
          <w:kern w:val="0"/>
          <w:sz w:val="22"/>
          <w:szCs w:val="22"/>
        </w:rPr>
        <w:t>2. Horiuchi et al. Cytogenetic Analysis of Spontaneous Miscarriages Using Long Term Culturing of Chorionic Villi. J, Fetal Medicine. 2019. 6:1-6.</w:t>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t xml:space="preserve">Test ID: MOLARCEP17 </w:t>
      </w:r>
    </w:p>
    <w:p>
      <w:pPr>
        <w:pStyle w:val="Normal"/>
        <w:widowControl/>
        <w:bidi w:val="0"/>
        <w:spacing w:lineRule="auto" w:line="276" w:before="0" w:after="160"/>
        <w:jc w:val="left"/>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53</TotalTime>
  <Application>LibreOffice/7.3.7.2$Linux_X86_64 LibreOffice_project/30$Build-2</Application>
  <AppVersion>15.0000</AppVersion>
  <Pages>2</Pages>
  <Words>299</Words>
  <Characters>1677</Characters>
  <CharactersWithSpaces>1954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2026-04-07T14:53:06Z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