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i/>
          <w:i/>
          <w:iCs/>
          <w:kern w:val="0"/>
          <w:sz w:val="22"/>
          <w:szCs w:val="22"/>
        </w:rPr>
      </w:pPr>
      <w:r>
        <w:rPr>
          <w:rFonts w:cs="Segoe UI" w:ascii="Segoe UI" w:hAnsi="Segoe UI"/>
          <w:i/>
          <w:iCs/>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t>BIOMARKER RESULTS (IHC)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shd w:fill="FEFEFE" w:val="clear"/>
        </w:rPr>
      </w:pPr>
      <w:r>
        <w:rPr>
          <w:rFonts w:cs="Segoe UI" w:ascii="Segoe UI" w:hAnsi="Segoe UI"/>
          <w:b/>
          <w:bCs/>
          <w:kern w:val="0"/>
          <w:sz w:val="22"/>
          <w:szCs w:val="22"/>
          <w:shd w:fill="FEFEFE" w:val="clear"/>
        </w:rPr>
        <w:t xml:space="preserve">Original block: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t>panTRK IHC result: Positive Negative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r>
    </w:p>
    <w:tbl>
      <w:tblPr>
        <w:tblW w:w="6711" w:type="dxa"/>
        <w:jc w:val="left"/>
        <w:tblInd w:w="10" w:type="dxa"/>
        <w:tblLayout w:type="fixed"/>
        <w:tblCellMar>
          <w:top w:w="0" w:type="dxa"/>
          <w:left w:w="105" w:type="dxa"/>
          <w:bottom w:w="0" w:type="dxa"/>
          <w:right w:w="105" w:type="dxa"/>
        </w:tblCellMar>
      </w:tblPr>
      <w:tblGrid>
        <w:gridCol w:w="2501"/>
        <w:gridCol w:w="1439"/>
        <w:gridCol w:w="1618"/>
        <w:gridCol w:w="1153"/>
      </w:tblGrid>
      <w:tr>
        <w:trPr>
          <w:trHeight w:val="360" w:hRule="atLeast"/>
        </w:trPr>
        <w:tc>
          <w:tcPr>
            <w:tcW w:w="250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r>
          </w:p>
        </w:tc>
        <w:tc>
          <w:tcPr>
            <w:tcW w:w="143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Proportion</w:t>
            </w:r>
          </w:p>
        </w:tc>
        <w:tc>
          <w:tcPr>
            <w:tcW w:w="1618"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Stain intensity</w:t>
            </w:r>
          </w:p>
        </w:tc>
        <w:tc>
          <w:tcPr>
            <w:tcW w:w="11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Subtotal</w:t>
            </w:r>
          </w:p>
        </w:tc>
      </w:tr>
      <w:tr>
        <w:trPr>
          <w:trHeight w:val="360" w:hRule="atLeast"/>
        </w:trPr>
        <w:tc>
          <w:tcPr>
            <w:tcW w:w="250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t>Nuclear staining</w:t>
            </w:r>
          </w:p>
        </w:tc>
        <w:tc>
          <w:tcPr>
            <w:tcW w:w="143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{0 to 3}</w:t>
            </w:r>
          </w:p>
        </w:tc>
        <w:tc>
          <w:tcPr>
            <w:tcW w:w="1618"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{0 to 2}</w:t>
            </w:r>
          </w:p>
        </w:tc>
        <w:tc>
          <w:tcPr>
            <w:tcW w:w="11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w:t>
            </w:r>
          </w:p>
        </w:tc>
      </w:tr>
      <w:tr>
        <w:trPr>
          <w:trHeight w:val="360" w:hRule="atLeast"/>
        </w:trPr>
        <w:tc>
          <w:tcPr>
            <w:tcW w:w="250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t>Cytoplasmic staining</w:t>
            </w:r>
          </w:p>
        </w:tc>
        <w:tc>
          <w:tcPr>
            <w:tcW w:w="143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{0 to 3}</w:t>
            </w:r>
          </w:p>
        </w:tc>
        <w:tc>
          <w:tcPr>
            <w:tcW w:w="1618"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{0 to 2}</w:t>
            </w:r>
          </w:p>
        </w:tc>
        <w:tc>
          <w:tcPr>
            <w:tcW w:w="11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w:t>
            </w:r>
          </w:p>
        </w:tc>
      </w:tr>
      <w:tr>
        <w:trPr>
          <w:trHeight w:val="360" w:hRule="atLeast"/>
        </w:trPr>
        <w:tc>
          <w:tcPr>
            <w:tcW w:w="250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t>Membranous staining</w:t>
            </w:r>
          </w:p>
        </w:tc>
        <w:tc>
          <w:tcPr>
            <w:tcW w:w="143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{0 to 3}</w:t>
            </w:r>
          </w:p>
        </w:tc>
        <w:tc>
          <w:tcPr>
            <w:tcW w:w="1618"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{0 to 2}</w:t>
            </w:r>
          </w:p>
        </w:tc>
        <w:tc>
          <w:tcPr>
            <w:tcW w:w="11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w:t>
            </w:r>
          </w:p>
        </w:tc>
      </w:tr>
      <w:tr>
        <w:trPr>
          <w:trHeight w:val="360" w:hRule="atLeast"/>
        </w:trPr>
        <w:tc>
          <w:tcPr>
            <w:tcW w:w="250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t xml:space="preserve">CANTRK Total </w:t>
            </w:r>
          </w:p>
        </w:tc>
        <w:tc>
          <w:tcPr>
            <w:tcW w:w="3057" w:type="dxa"/>
            <w:gridSpan w:val="2"/>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r>
          </w:p>
        </w:tc>
        <w:tc>
          <w:tcPr>
            <w:tcW w:w="11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pPr>
      <w:r>
        <w:rPr>
          <w:rFonts w:cs="Segoe UI" w:ascii="Segoe UI" w:hAnsi="Segoe UI"/>
          <w:b/>
          <w:bCs/>
          <w:i/>
          <w:iCs/>
          <w:kern w:val="0"/>
          <w:sz w:val="22"/>
          <w:szCs w:val="22"/>
        </w:rPr>
        <w:t>panTRK Interpretation</w:t>
      </w:r>
      <w:r>
        <w:rPr>
          <w:rFonts w:cs="Segoe UI" w:ascii="Segoe UI" w:hAnsi="Segoe UI"/>
          <w:b/>
          <w:bCs/>
          <w:kern w:val="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Proportion of staining: 0 = &lt; 10%; 1 = [10% - 30%]; 2 = [30% - 70%] and 3 [70% - 100%]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 xml:space="preserve">Intensity of staining: 0 less than 10% of cells stained; 1 stain not detected at 100X; 2 stain detected at 100X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Definition of POSITIVE panTRK IHC:  CANTRK score total must be &gt;= 6 or any single cellular compartment =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t>APL meets accreditation and ASCO-CAP Guidelines including tissue fixation standards. Refer to original surgical report for fixation data.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kern w:val="0"/>
          <w:sz w:val="22"/>
          <w:szCs w:val="22"/>
        </w:rPr>
      </w:pPr>
      <w:r>
        <w:rPr>
          <w:rFonts w:cs="Segoe UI" w:ascii="Segoe UI" w:hAnsi="Segoe UI"/>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jc w:val="both"/>
        <w:rPr>
          <w:rFonts w:ascii="Segoe UI" w:hAnsi="Segoe UI" w:cs="Segoe UI"/>
          <w:i/>
          <w:i/>
          <w:iCs/>
          <w:kern w:val="0"/>
          <w:sz w:val="22"/>
          <w:szCs w:val="22"/>
        </w:rPr>
      </w:pPr>
      <w:r>
        <w:rPr>
          <w:rFonts w:cs="Segoe UI" w:ascii="Segoe UI" w:hAnsi="Segoe UI"/>
          <w:i/>
          <w:iCs/>
          <w:kern w:val="0"/>
          <w:sz w:val="22"/>
          <w:szCs w:val="22"/>
        </w:rPr>
        <w:t>If the result is insufficient, please submit if possible a new sample. If the result is negative, it supports absence of NTRK gene rearrangement. No additional NTRK testing required except if the tumour is associated with high frequency NTRK fusion. If the result is positive, it may indicate NTRK gene rearrangement but IHC triage is at this point highly sensitive but lack specificity and Next-Generation Sequencing (NGS) is mandatory to confirm gene rearrangement. When IHC positive, NGS test will be automatically ordered.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jc w:val="both"/>
        <w:rPr>
          <w:rFonts w:ascii="Segoe UI" w:hAnsi="Segoe UI" w:cs="Segoe UI"/>
          <w:b/>
          <w:b/>
          <w:bCs/>
          <w:i/>
          <w:i/>
          <w:iCs/>
          <w:kern w:val="0"/>
          <w:sz w:val="22"/>
          <w:szCs w:val="22"/>
        </w:rPr>
      </w:pPr>
      <w:r>
        <w:rPr>
          <w:rFonts w:cs="Segoe UI" w:ascii="Segoe UI" w:hAnsi="Segoe UI"/>
          <w:b/>
          <w:bCs/>
          <w:i/>
          <w:iCs/>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jc w:val="both"/>
        <w:rPr/>
      </w:pPr>
      <w:r>
        <w:rPr>
          <w:rFonts w:cs="Segoe UI" w:ascii="Segoe UI" w:hAnsi="Segoe UI"/>
          <w:b/>
          <w:bCs/>
          <w:i/>
          <w:iCs/>
          <w:kern w:val="0"/>
          <w:sz w:val="22"/>
          <w:szCs w:val="22"/>
        </w:rPr>
        <w:t>Disclaimer</w:t>
      </w:r>
      <w:r>
        <w:rPr>
          <w:rFonts w:cs="Segoe UI" w:ascii="Segoe UI" w:hAnsi="Segoe UI"/>
          <w:i/>
          <w:iCs/>
          <w:kern w:val="0"/>
          <w:sz w:val="22"/>
          <w:szCs w:val="22"/>
        </w:rPr>
        <w:t>: VENTANA pan-TRK (EPR17341) assay is utilized in the Edmonton Zone IHC Laboratory to screen tumours with NTRK gene fusions for which a tyrosine kinase inhibitor therapy is available. The assay detects the C-terminal region of the tropomyosin receptor kinase (TRK) proteins A, B and C, in formalin-fixed, paraffin-embedded (FFPE) neoplastic tissues. This assay has been optimized through the Canadian ring study CANTRK.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jc w:val="both"/>
        <w:rPr>
          <w:rFonts w:ascii="Segoe UI" w:hAnsi="Segoe UI" w:cs="Segoe UI"/>
          <w:i/>
          <w:i/>
          <w:iCs/>
          <w:kern w:val="0"/>
          <w:sz w:val="22"/>
          <w:szCs w:val="22"/>
        </w:rPr>
      </w:pPr>
      <w:r>
        <w:rPr>
          <w:rFonts w:cs="Segoe UI" w:ascii="Segoe UI" w:hAnsi="Segoe UI"/>
          <w:i/>
          <w:iCs/>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jc w:val="both"/>
        <w:rPr>
          <w:rFonts w:ascii="Segoe UI" w:hAnsi="Segoe UI" w:cs="Segoe UI"/>
          <w:kern w:val="0"/>
          <w:sz w:val="22"/>
          <w:szCs w:val="22"/>
        </w:rPr>
      </w:pPr>
      <w:r>
        <w:rPr>
          <w:rFonts w:cs="Segoe UI" w:ascii="Segoe UI" w:hAnsi="Segoe UI"/>
          <w:kern w:val="0"/>
          <w:sz w:val="22"/>
          <w:szCs w:val="22"/>
        </w:rPr>
        <w:t>Test ID: PANTRK</w:t>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 w:name="Segoe UI">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172</TotalTime>
  <Application>LibreOffice/7.3.7.2$Linux_X86_64 LibreOffice_project/30$Build-2</Application>
  <AppVersion>15.0000</AppVersion>
  <Pages>1</Pages>
  <Words>274</Words>
  <Characters>1415</Characters>
  <CharactersWithSpaces>1665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2026-04-07T14:54:00Z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