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lang w:val="en-CA"/>
        </w:rPr>
      </w:pPr>
      <w:r>
        <w:rPr>
          <w:lang w:val="en-CA"/>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PD-L1 IHC BIOMARKER</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Assay Purpose:</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 Uterine cervical cancer (SCC and Adenocarcinoma)</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rug: Pembrolizumab (Merck)</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test: PDL1 Dako 22C3 pharmDX</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 xml:space="preserve">Result:       Positive CPS &gt;= 1 </w:t>
      </w:r>
      <w:r>
        <w:rPr>
          <w:rFonts w:cs="Arial" w:ascii="Arial" w:hAnsi="Arial"/>
          <w:b/>
          <w:bCs/>
          <w:color w:val="FF0000"/>
          <w:kern w:val="0"/>
          <w:sz w:val="22"/>
          <w:szCs w:val="22"/>
        </w:rPr>
        <w:t>or</w:t>
      </w:r>
      <w:r>
        <w:rPr>
          <w:rFonts w:cs="Arial" w:ascii="Arial" w:hAnsi="Arial"/>
          <w:b/>
          <w:bCs/>
          <w:kern w:val="0"/>
          <w:sz w:val="22"/>
          <w:szCs w:val="22"/>
        </w:rPr>
        <w:t xml:space="preserve"> Negative CPS &lt; 1 </w:t>
      </w:r>
      <w:r>
        <w:rPr>
          <w:rFonts w:cs="Arial" w:ascii="Arial" w:hAnsi="Arial"/>
          <w:b/>
          <w:bCs/>
          <w:color w:val="FF0000"/>
          <w:kern w:val="0"/>
          <w:sz w:val="22"/>
          <w:szCs w:val="22"/>
        </w:rPr>
        <w:t>or</w:t>
      </w:r>
      <w:r>
        <w:rPr>
          <w:rFonts w:cs="Arial" w:ascii="Arial" w:hAnsi="Arial"/>
          <w:b/>
          <w:bCs/>
          <w:kern w:val="0"/>
          <w:sz w:val="22"/>
          <w:szCs w:val="22"/>
        </w:rPr>
        <w:t xml:space="preserve"> Inadequate</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Performed on block ***</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 xml:space="preserve"> </w:t>
      </w:r>
    </w:p>
    <w:p>
      <w:pPr>
        <w:pStyle w:val="Normal"/>
        <w:spacing w:lineRule="auto" w:line="240" w:before="0" w:after="0"/>
        <w:rPr/>
      </w:pPr>
      <w:r>
        <w:rPr>
          <w:rFonts w:cs="Arial" w:ascii="Arial" w:hAnsi="Arial"/>
          <w:b/>
          <w:bCs/>
          <w:kern w:val="0"/>
          <w:sz w:val="22"/>
          <w:szCs w:val="22"/>
        </w:rPr>
        <w:t>Interpretation</w:t>
      </w:r>
      <w:r>
        <w:rPr>
          <w:rFonts w:cs="Arial" w:ascii="Arial" w:hAnsi="Arial"/>
          <w:kern w:val="0"/>
          <w:sz w:val="22"/>
          <w:szCs w:val="22"/>
        </w:rPr>
        <w:t>: Combined Proportion Score (</w:t>
      </w:r>
      <w:r>
        <w:rPr>
          <w:rFonts w:cs="Arial" w:ascii="Arial" w:hAnsi="Arial"/>
          <w:b/>
          <w:bCs/>
          <w:kern w:val="0"/>
          <w:sz w:val="22"/>
          <w:szCs w:val="22"/>
        </w:rPr>
        <w:t>CPS</w:t>
      </w:r>
      <w:r>
        <w:rPr>
          <w:rFonts w:cs="Arial" w:ascii="Arial" w:hAnsi="Arial"/>
          <w:kern w:val="0"/>
          <w:sz w:val="22"/>
          <w:szCs w:val="22"/>
        </w:rPr>
        <w:t>) - Negative (&lt; 1), Positive (&gt;= 1)</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kern w:val="0"/>
          <w:sz w:val="22"/>
          <w:szCs w:val="22"/>
        </w:rPr>
        <w:t xml:space="preserve">Batch control: </w:t>
      </w:r>
      <w:r>
        <w:rPr>
          <w:rFonts w:cs="Arial" w:ascii="Arial" w:hAnsi="Arial"/>
          <w:b/>
          <w:bCs/>
          <w:kern w:val="0"/>
          <w:sz w:val="22"/>
          <w:szCs w:val="22"/>
        </w:rPr>
        <w:t>Adequate</w:t>
      </w:r>
      <w:r>
        <w:rPr>
          <w:rFonts w:cs="Arial" w:ascii="Arial" w:hAnsi="Arial"/>
          <w:kern w:val="0"/>
          <w:sz w:val="22"/>
          <w:szCs w:val="22"/>
        </w:rPr>
        <w:t xml:space="preserve">; on slide controls: </w:t>
      </w:r>
      <w:r>
        <w:rPr>
          <w:rFonts w:cs="Arial" w:ascii="Arial" w:hAnsi="Arial"/>
          <w:b/>
          <w:bCs/>
          <w:kern w:val="0"/>
          <w:sz w:val="22"/>
          <w:szCs w:val="22"/>
        </w:rPr>
        <w:t>Adequate</w:t>
      </w:r>
      <w:r>
        <w:rPr>
          <w:rFonts w:cs="Arial" w:ascii="Arial" w:hAnsi="Arial"/>
          <w:kern w:val="0"/>
          <w:sz w:val="22"/>
          <w:szCs w:val="22"/>
        </w:rPr>
        <w:t xml:space="preserve"> </w:t>
      </w:r>
    </w:p>
    <w:p>
      <w:pPr>
        <w:pStyle w:val="Normal"/>
        <w:spacing w:lineRule="auto" w:line="240" w:before="0" w:after="0"/>
        <w:rPr/>
      </w:pPr>
      <w:r>
        <w:rPr>
          <w:rFonts w:cs="Arial" w:ascii="Arial" w:hAnsi="Arial"/>
          <w:kern w:val="0"/>
          <w:sz w:val="22"/>
          <w:szCs w:val="22"/>
        </w:rPr>
        <w:t xml:space="preserve">Disclaimer: Please note the PD-L1 IHC (22C3 pharm Dx) with the combined positive score (CPS) utilized herein has been developed for use of Pembrolizumab in persistent, recurrent or metastatic </w:t>
      </w:r>
      <w:r>
        <w:rPr>
          <w:rFonts w:cs="Arial" w:ascii="Arial" w:hAnsi="Arial"/>
          <w:b/>
          <w:bCs/>
          <w:kern w:val="0"/>
          <w:sz w:val="22"/>
          <w:szCs w:val="22"/>
        </w:rPr>
        <w:t>cervical cancer</w:t>
      </w:r>
      <w:r>
        <w:rPr>
          <w:rFonts w:cs="Arial" w:ascii="Arial" w:hAnsi="Arial"/>
          <w:kern w:val="0"/>
          <w:sz w:val="22"/>
          <w:szCs w:val="22"/>
        </w:rPr>
        <w:t xml:space="preserve"> and is not interchangeable with other PD-L1 assays (Keynote-826). PD-L1 22C3 pharm Dx was validated with tissue fixed in 10% neutral buffered formalin (NBF) for 12 to 72 hours. The method is not fully validated for shorter or longer fixation in NBF, other fixatives, extended ischemic time, treatment of tissue with microwaves or decalcification.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  Furthermore for </w:t>
      </w:r>
      <w:r>
        <w:rPr>
          <w:rFonts w:cs="Arial" w:ascii="Arial" w:hAnsi="Arial"/>
          <w:b/>
          <w:bCs/>
          <w:kern w:val="0"/>
          <w:sz w:val="22"/>
          <w:szCs w:val="22"/>
        </w:rPr>
        <w:t>specimen adequacy</w:t>
      </w:r>
      <w:r>
        <w:rPr>
          <w:rFonts w:cs="Arial" w:ascii="Arial" w:hAnsi="Arial"/>
          <w:kern w:val="0"/>
          <w:sz w:val="22"/>
          <w:szCs w:val="22"/>
        </w:rPr>
        <w:t>, this assessment should only rely on tissue showing invasive carcinoma (except rare instances, should not be performed on cytological specimen) and must include a minimum of 100 malignant cells.</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Reference: Colombo, N., Dubot, C., Lorusso, D., et al. Pembrolizumab for Persistent, Recurrent, or Metastatic Cervical Cancer. N Engl J Med 2021; 385:1856-1867 (https://doi.org/10.1056/nejmoa2112435)</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Test ID: PDL1CERVIX</w:t>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LibreOffice/7.3.7.2$Linux_X86_64 LibreOffice_project/30$Build-2</Application>
  <AppVersion>15.0000</AppVersion>
  <Pages>1</Pages>
  <Words>256</Words>
  <Characters>1508</Characters>
  <CharactersWithSpaces>1761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2026-04-07T14:54:54Z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