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PD-L1 IHC BIOMARKER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>Assay Purpose: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iagnostic : Lung Non Small Cell Carcinoma stage II to IIIA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rug: Atezolizumab (Roche) as adjuvant therapy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D</w:t>
      </w:r>
      <w:r>
        <w:rPr>
          <w:rFonts w:cs="Arial" w:ascii="Arial" w:hAnsi="Arial"/>
          <w:kern w:val="0"/>
          <w:sz w:val="22"/>
          <w:szCs w:val="22"/>
        </w:rPr>
        <w:t>iagnostic test: PDL1 SP263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 xml:space="preserve">Result:       Positive TPS &gt;= 50% </w:t>
      </w:r>
      <w:r>
        <w:rPr>
          <w:rFonts w:cs="Arial" w:ascii="Arial" w:hAnsi="Arial"/>
          <w:b/>
          <w:bCs/>
          <w:color w:val="FF0000"/>
          <w:kern w:val="0"/>
          <w:sz w:val="22"/>
          <w:szCs w:val="22"/>
        </w:rPr>
        <w:t>or</w:t>
      </w:r>
      <w:r>
        <w:rPr>
          <w:rFonts w:cs="Arial" w:ascii="Arial" w:hAnsi="Arial"/>
          <w:b/>
          <w:bCs/>
          <w:kern w:val="0"/>
          <w:sz w:val="22"/>
          <w:szCs w:val="22"/>
        </w:rPr>
        <w:t xml:space="preserve"> Negative TPS &lt; 50% </w:t>
      </w:r>
      <w:r>
        <w:rPr>
          <w:rFonts w:cs="Arial" w:ascii="Arial" w:hAnsi="Arial"/>
          <w:b/>
          <w:bCs/>
          <w:color w:val="FF0000"/>
          <w:kern w:val="0"/>
          <w:sz w:val="22"/>
          <w:szCs w:val="22"/>
        </w:rPr>
        <w:t>or</w:t>
      </w:r>
      <w:r>
        <w:rPr>
          <w:rFonts w:cs="Arial" w:ascii="Arial" w:hAnsi="Arial"/>
          <w:b/>
          <w:bCs/>
          <w:kern w:val="0"/>
          <w:sz w:val="22"/>
          <w:szCs w:val="22"/>
        </w:rPr>
        <w:t xml:space="preserve"> Inadequate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kern w:val="0"/>
          <w:sz w:val="22"/>
          <w:szCs w:val="22"/>
        </w:rPr>
      </w:pPr>
      <w:r>
        <w:rPr>
          <w:rFonts w:cs="Arial" w:ascii="Arial" w:hAnsi="Arial"/>
          <w:b/>
          <w:bCs/>
          <w:kern w:val="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Performed on block ***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kern w:val="0"/>
          <w:sz w:val="22"/>
          <w:szCs w:val="22"/>
        </w:rPr>
        <w:t>Interpretation</w:t>
      </w:r>
      <w:r>
        <w:rPr>
          <w:rFonts w:cs="Arial" w:ascii="Arial" w:hAnsi="Arial"/>
          <w:kern w:val="0"/>
          <w:sz w:val="22"/>
          <w:szCs w:val="22"/>
        </w:rPr>
        <w:t>: Tumour Percentage Score (</w:t>
      </w:r>
      <w:r>
        <w:rPr>
          <w:rFonts w:cs="Arial" w:ascii="Arial" w:hAnsi="Arial"/>
          <w:b/>
          <w:bCs/>
          <w:kern w:val="0"/>
          <w:sz w:val="22"/>
          <w:szCs w:val="22"/>
        </w:rPr>
        <w:t>TPS</w:t>
      </w:r>
      <w:r>
        <w:rPr>
          <w:rFonts w:cs="Arial" w:ascii="Arial" w:hAnsi="Arial"/>
          <w:kern w:val="0"/>
          <w:sz w:val="22"/>
          <w:szCs w:val="22"/>
        </w:rPr>
        <w:t>) - Negative (&lt; 50%), Positive (&gt;= 50%)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kern w:val="0"/>
          <w:sz w:val="22"/>
          <w:szCs w:val="22"/>
        </w:rPr>
        <w:t xml:space="preserve">Batch controls: </w:t>
      </w:r>
      <w:r>
        <w:rPr>
          <w:rFonts w:cs="Arial" w:ascii="Arial" w:hAnsi="Arial"/>
          <w:b/>
          <w:bCs/>
          <w:kern w:val="0"/>
          <w:sz w:val="22"/>
          <w:szCs w:val="22"/>
        </w:rPr>
        <w:t>Adequate</w:t>
      </w:r>
      <w:r>
        <w:rPr>
          <w:rFonts w:cs="Arial" w:ascii="Arial" w:hAnsi="Arial"/>
          <w:kern w:val="0"/>
          <w:sz w:val="22"/>
          <w:szCs w:val="22"/>
        </w:rPr>
        <w:t xml:space="preserve">; On slide controls: </w:t>
      </w:r>
      <w:r>
        <w:rPr>
          <w:rFonts w:cs="Arial" w:ascii="Arial" w:hAnsi="Arial"/>
          <w:b/>
          <w:bCs/>
          <w:kern w:val="0"/>
          <w:sz w:val="22"/>
          <w:szCs w:val="22"/>
        </w:rPr>
        <w:t>Adequate</w:t>
      </w:r>
      <w:r>
        <w:rPr>
          <w:rFonts w:cs="Arial" w:ascii="Arial" w:hAnsi="Arial"/>
          <w:kern w:val="0"/>
          <w:sz w:val="22"/>
          <w:szCs w:val="22"/>
        </w:rPr>
        <w:t xml:space="preserve">; Immune cell staining: </w:t>
      </w:r>
      <w:r>
        <w:rPr>
          <w:rFonts w:cs="Arial" w:ascii="Arial" w:hAnsi="Arial"/>
          <w:b/>
          <w:bCs/>
          <w:kern w:val="0"/>
          <w:sz w:val="22"/>
          <w:szCs w:val="22"/>
        </w:rPr>
        <w:t>Present</w:t>
      </w:r>
      <w:r>
        <w:rPr>
          <w:rFonts w:cs="Arial" w:ascii="Arial" w:hAnsi="Arial"/>
          <w:kern w:val="0"/>
          <w:sz w:val="22"/>
          <w:szCs w:val="22"/>
        </w:rPr>
        <w:t>;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>Disclaimer: Atezolizumab monotherapy adjuvant for resected stage II to stage IIIA NSCLC who received platinum-based chemotherapy and whose tumours have PD_L1 expression on ≥ 50% of tumour cells and do not have EGFR or ALK mutations. (Reference: Enriqueta Felip, et al. Adjuvant atezolizumab after adjuvant chemotherapy in resected stage II–IIIA non-small-cell lung cancer (IMpower010): a randomised, multicentre, open-label, phase 3 trial, The Lancet, Volume 398, Issue 10308, 2021, Pages 1344-1357,ISSN 0140-6736. VENTANA PD-L1 (SP263) Assay is intended for the qualitative detection of the programmed death ligand 1 (PD-L1) protein in formalin-fixed, paraffin-embedded (FFPE) non-small cell lung cancer (NSCLC) tissue stained with OptiView DAB IHC Detection Kit on a BenchMark IHC/ISH instrument.This assay is not interchangeable with other PD-L1 assays and cannot be used for other type of cancers. On slide controls include one piece of tonsil (with expected PD-L1 staining positive in immune cells and keratinocytes) and one piece of liver (with expected PD-L1 staining negative in hepatocytes).</w:t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kern w:val="0"/>
          <w:sz w:val="22"/>
          <w:szCs w:val="22"/>
        </w:rPr>
      </w:pPr>
      <w:r>
        <w:rPr>
          <w:rFonts w:cs="Arial" w:ascii="Arial" w:hAnsi="Arial"/>
          <w:kern w:val="0"/>
          <w:sz w:val="22"/>
          <w:szCs w:val="22"/>
        </w:rPr>
        <w:t xml:space="preserve">Test ID: PDL1NSCLCATEZOSP263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DejaVu Sans"/>
        <w:kern w:val="2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160"/>
      <w:jc w:val="left"/>
    </w:pPr>
    <w:rPr>
      <w:rFonts w:ascii="Aptos" w:hAnsi="Aptos" w:eastAsia="Aptos" w:cs="DejaVu Sans"/>
      <w:color w:val="auto"/>
      <w:kern w:val="2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DejaVu Sans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DejaVu Sans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DejaVu San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DejaVu Sans"/>
      <w:i/>
      <w:iCs/>
      <w:color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DejaVu Sans"/>
      <w:color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DejaVu Sans"/>
      <w:i/>
      <w:iCs/>
      <w:color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DejaVu Sans"/>
      <w:color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DejaVu Sans"/>
      <w:i/>
      <w:iCs/>
      <w:color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DejaVu Sans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Aptos Display" w:hAnsi="Aptos Display" w:eastAsia="Aptos" w:cs="DejaVu Sans"/>
      <w:color w:val="0F4761"/>
      <w:sz w:val="40"/>
      <w:szCs w:val="40"/>
    </w:rPr>
  </w:style>
  <w:style w:type="character" w:styleId="Heading2Char">
    <w:name w:val="Heading 2 Char"/>
    <w:basedOn w:val="DefaultParagraphFont"/>
    <w:link w:val="Heading2"/>
    <w:qFormat/>
    <w:rPr>
      <w:rFonts w:ascii="Aptos Display" w:hAnsi="Aptos Display" w:eastAsia="Aptos" w:cs="DejaVu Sans"/>
      <w:color w:val="0F4761"/>
      <w:sz w:val="32"/>
      <w:szCs w:val="32"/>
    </w:rPr>
  </w:style>
  <w:style w:type="character" w:styleId="Heading3Char">
    <w:name w:val="Heading 3 Char"/>
    <w:basedOn w:val="DefaultParagraphFont"/>
    <w:link w:val="Heading3"/>
    <w:qFormat/>
    <w:rPr>
      <w:rFonts w:eastAsia="Aptos" w:cs="DejaVu Sans"/>
      <w:color w:val="0F4761"/>
      <w:sz w:val="28"/>
      <w:szCs w:val="28"/>
    </w:rPr>
  </w:style>
  <w:style w:type="character" w:styleId="Heading4Char">
    <w:name w:val="Heading 4 Char"/>
    <w:basedOn w:val="DefaultParagraphFont"/>
    <w:link w:val="Heading4"/>
    <w:qFormat/>
    <w:rPr>
      <w:rFonts w:eastAsia="Aptos" w:cs="DejaVu Sans"/>
      <w:i/>
      <w:iCs/>
      <w:color w:val="0F4761"/>
    </w:rPr>
  </w:style>
  <w:style w:type="character" w:styleId="Heading5Char">
    <w:name w:val="Heading 5 Char"/>
    <w:basedOn w:val="DefaultParagraphFont"/>
    <w:link w:val="Heading5"/>
    <w:qFormat/>
    <w:rPr>
      <w:rFonts w:eastAsia="Aptos" w:cs="DejaVu Sans"/>
      <w:color w:val="0F4761"/>
    </w:rPr>
  </w:style>
  <w:style w:type="character" w:styleId="Heading6Char">
    <w:name w:val="Heading 6 Char"/>
    <w:basedOn w:val="DefaultParagraphFont"/>
    <w:link w:val="Heading6"/>
    <w:qFormat/>
    <w:rPr>
      <w:rFonts w:eastAsia="Aptos" w:cs="DejaVu Sans"/>
      <w:i/>
      <w:iCs/>
      <w:color w:val="595959"/>
    </w:rPr>
  </w:style>
  <w:style w:type="character" w:styleId="Heading7Char">
    <w:name w:val="Heading 7 Char"/>
    <w:basedOn w:val="DefaultParagraphFont"/>
    <w:link w:val="Heading7"/>
    <w:qFormat/>
    <w:rPr>
      <w:rFonts w:eastAsia="Aptos" w:cs="DejaVu Sans"/>
      <w:color w:val="595959"/>
    </w:rPr>
  </w:style>
  <w:style w:type="character" w:styleId="Heading8Char">
    <w:name w:val="Heading 8 Char"/>
    <w:basedOn w:val="DefaultParagraphFont"/>
    <w:link w:val="Heading8"/>
    <w:qFormat/>
    <w:rPr>
      <w:rFonts w:eastAsia="Aptos" w:cs="DejaVu Sans"/>
      <w:i/>
      <w:iCs/>
      <w:color w:val="272727"/>
    </w:rPr>
  </w:style>
  <w:style w:type="character" w:styleId="Heading9Char">
    <w:name w:val="Heading 9 Char"/>
    <w:basedOn w:val="DefaultParagraphFont"/>
    <w:link w:val="Heading9"/>
    <w:qFormat/>
    <w:rPr>
      <w:rFonts w:eastAsia="Aptos" w:cs="DejaVu Sans"/>
      <w:color w:val="272727"/>
    </w:rPr>
  </w:style>
  <w:style w:type="character" w:styleId="TitleChar">
    <w:name w:val="Title Char"/>
    <w:basedOn w:val="DefaultParagraphFont"/>
    <w:link w:val="Title"/>
    <w:qFormat/>
    <w:rPr>
      <w:rFonts w:ascii="Aptos Display" w:hAnsi="Aptos Display" w:eastAsia="Aptos" w:cs="DejaVu Sans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link w:val="Subtitle"/>
    <w:qFormat/>
    <w:rPr>
      <w:rFonts w:eastAsia="Aptos" w:cs="DejaVu Sans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Internet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Aptos Display" w:hAnsi="Aptos Display" w:eastAsia="Aptos" w:cs="DejaVu Sans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DejaVu Sans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LibreOffice/7.3.7.2$Linux_X86_64 LibreOffice_project/30$Build-2</Application>
  <AppVersion>15.0000</AppVersion>
  <Pages>1</Pages>
  <Words>227</Words>
  <Characters>1331</Characters>
  <CharactersWithSpaces>1555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2026-04-07T16:34:00Z</dcterms:created>
  <dc:creator>Gilbert Bigras</dc:creator>
  <dc:description/>
  <dc:language>en-CA</dc:language>
  <cp:lastModifiedBy>Gilbert Bigras</cp:lastModifiedBy>
  <dcterms:modified xsi:type="dcterms:W3CDTF">2026-04-07T14:57:32Z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