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cs="Arial"/>
          <w:b/>
          <w:b/>
          <w:bCs/>
          <w:kern w:val="0"/>
          <w:sz w:val="22"/>
          <w:szCs w:val="22"/>
        </w:rPr>
      </w:pPr>
      <w:r>
        <w:rPr>
          <w:rFonts w:cs="Arial" w:ascii="Arial" w:hAnsi="Arial"/>
          <w:b/>
          <w:bCs/>
          <w:kern w:val="0"/>
          <w:sz w:val="22"/>
          <w:szCs w:val="22"/>
        </w:rPr>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t>PD-L1 IHC BIOMARKER</w:t>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t>Assay Purpose:</w:t>
      </w:r>
    </w:p>
    <w:p>
      <w:pPr>
        <w:pStyle w:val="Normal"/>
        <w:spacing w:lineRule="auto" w:line="240" w:before="0" w:after="0"/>
        <w:rPr/>
      </w:pPr>
      <w:r>
        <w:rPr>
          <w:rFonts w:cs="Arial" w:ascii="Arial" w:hAnsi="Arial"/>
          <w:b/>
          <w:bCs/>
          <w:kern w:val="0"/>
          <w:sz w:val="22"/>
          <w:szCs w:val="22"/>
        </w:rPr>
        <w:t>D</w:t>
      </w:r>
      <w:r>
        <w:rPr>
          <w:rFonts w:cs="Arial" w:ascii="Arial" w:hAnsi="Arial"/>
          <w:kern w:val="0"/>
          <w:sz w:val="22"/>
          <w:szCs w:val="22"/>
        </w:rPr>
        <w:t>iagnostic : Lung Non Small Cell Carcinoma</w:t>
      </w:r>
    </w:p>
    <w:p>
      <w:pPr>
        <w:pStyle w:val="Normal"/>
        <w:spacing w:lineRule="auto" w:line="240" w:before="0" w:after="0"/>
        <w:rPr/>
      </w:pPr>
      <w:r>
        <w:rPr>
          <w:rFonts w:cs="Arial" w:ascii="Arial" w:hAnsi="Arial"/>
          <w:b/>
          <w:bCs/>
          <w:kern w:val="0"/>
          <w:sz w:val="22"/>
          <w:szCs w:val="22"/>
        </w:rPr>
        <w:t>D</w:t>
      </w:r>
      <w:r>
        <w:rPr>
          <w:rFonts w:cs="Arial" w:ascii="Arial" w:hAnsi="Arial"/>
          <w:kern w:val="0"/>
          <w:sz w:val="22"/>
          <w:szCs w:val="22"/>
        </w:rPr>
        <w:t>rug: Pembrolizumab (Merck)</w:t>
      </w:r>
    </w:p>
    <w:p>
      <w:pPr>
        <w:pStyle w:val="Normal"/>
        <w:spacing w:lineRule="auto" w:line="240" w:before="0" w:after="0"/>
        <w:rPr/>
      </w:pPr>
      <w:r>
        <w:rPr>
          <w:rFonts w:cs="Arial" w:ascii="Arial" w:hAnsi="Arial"/>
          <w:b/>
          <w:bCs/>
          <w:kern w:val="0"/>
          <w:sz w:val="22"/>
          <w:szCs w:val="22"/>
        </w:rPr>
        <w:t>D</w:t>
      </w:r>
      <w:r>
        <w:rPr>
          <w:rFonts w:cs="Arial" w:ascii="Arial" w:hAnsi="Arial"/>
          <w:kern w:val="0"/>
          <w:sz w:val="22"/>
          <w:szCs w:val="22"/>
        </w:rPr>
        <w:t>iagnostic test: PDL1 Dako 22C3 pharmDX</w:t>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r>
    </w:p>
    <w:p>
      <w:pPr>
        <w:pStyle w:val="Normal"/>
        <w:spacing w:lineRule="auto" w:line="240" w:before="0" w:after="0"/>
        <w:rPr/>
      </w:pPr>
      <w:r>
        <w:rPr>
          <w:rFonts w:cs="Arial" w:ascii="Arial" w:hAnsi="Arial"/>
          <w:b/>
          <w:bCs/>
          <w:kern w:val="0"/>
          <w:sz w:val="22"/>
          <w:szCs w:val="22"/>
        </w:rPr>
        <w:t xml:space="preserve">Result:       Positive TPS &gt;= 50% </w:t>
      </w:r>
      <w:r>
        <w:rPr>
          <w:rFonts w:cs="Arial" w:ascii="Arial" w:hAnsi="Arial"/>
          <w:b/>
          <w:bCs/>
          <w:color w:val="FF0000"/>
          <w:kern w:val="0"/>
          <w:sz w:val="22"/>
          <w:szCs w:val="22"/>
        </w:rPr>
        <w:t>or</w:t>
      </w:r>
      <w:r>
        <w:rPr>
          <w:rFonts w:cs="Arial" w:ascii="Arial" w:hAnsi="Arial"/>
          <w:b/>
          <w:bCs/>
          <w:kern w:val="0"/>
          <w:sz w:val="22"/>
          <w:szCs w:val="22"/>
        </w:rPr>
        <w:t xml:space="preserve"> Low expression TPS &gt;= 1% &lt; 50% </w:t>
      </w:r>
      <w:r>
        <w:rPr>
          <w:rFonts w:cs="Arial" w:ascii="Arial" w:hAnsi="Arial"/>
          <w:b/>
          <w:bCs/>
          <w:color w:val="FF0000"/>
          <w:kern w:val="0"/>
          <w:sz w:val="22"/>
          <w:szCs w:val="22"/>
        </w:rPr>
        <w:t>or</w:t>
      </w:r>
      <w:r>
        <w:rPr>
          <w:rFonts w:cs="Arial" w:ascii="Arial" w:hAnsi="Arial"/>
          <w:b/>
          <w:bCs/>
          <w:kern w:val="0"/>
          <w:sz w:val="22"/>
          <w:szCs w:val="22"/>
        </w:rPr>
        <w:t xml:space="preserve"> Negative TPS &lt; 1% </w:t>
      </w:r>
      <w:r>
        <w:rPr>
          <w:rFonts w:cs="Arial" w:ascii="Arial" w:hAnsi="Arial"/>
          <w:b/>
          <w:bCs/>
          <w:color w:val="FF0000"/>
          <w:kern w:val="0"/>
          <w:sz w:val="22"/>
          <w:szCs w:val="22"/>
        </w:rPr>
        <w:t>or</w:t>
      </w:r>
      <w:r>
        <w:rPr>
          <w:rFonts w:cs="Arial" w:ascii="Arial" w:hAnsi="Arial"/>
          <w:b/>
          <w:bCs/>
          <w:kern w:val="0"/>
          <w:sz w:val="22"/>
          <w:szCs w:val="22"/>
        </w:rPr>
        <w:t xml:space="preserve"> Inadequate</w:t>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t xml:space="preserve"> </w:t>
      </w:r>
    </w:p>
    <w:p>
      <w:pPr>
        <w:pStyle w:val="Normal"/>
        <w:spacing w:lineRule="auto" w:line="240" w:before="0" w:after="0"/>
        <w:rPr>
          <w:rFonts w:ascii="Arial" w:hAnsi="Arial" w:cs="Arial"/>
          <w:kern w:val="0"/>
          <w:sz w:val="22"/>
          <w:szCs w:val="22"/>
        </w:rPr>
      </w:pPr>
      <w:r>
        <w:rPr>
          <w:rFonts w:cs="Arial" w:ascii="Arial" w:hAnsi="Arial"/>
          <w:kern w:val="0"/>
          <w:sz w:val="22"/>
          <w:szCs w:val="22"/>
        </w:rPr>
        <w:t>Performed on block ***</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pPr>
      <w:r>
        <w:rPr>
          <w:rFonts w:cs="Arial" w:ascii="Arial" w:hAnsi="Arial"/>
          <w:b/>
          <w:bCs/>
          <w:kern w:val="0"/>
          <w:sz w:val="22"/>
          <w:szCs w:val="22"/>
        </w:rPr>
        <w:t>Interpretation</w:t>
      </w:r>
      <w:r>
        <w:rPr>
          <w:rFonts w:cs="Arial" w:ascii="Arial" w:hAnsi="Arial"/>
          <w:kern w:val="0"/>
          <w:sz w:val="22"/>
          <w:szCs w:val="22"/>
        </w:rPr>
        <w:t>: Tumour Percentage Score (</w:t>
      </w:r>
      <w:r>
        <w:rPr>
          <w:rFonts w:cs="Arial" w:ascii="Arial" w:hAnsi="Arial"/>
          <w:b/>
          <w:bCs/>
          <w:kern w:val="0"/>
          <w:sz w:val="22"/>
          <w:szCs w:val="22"/>
        </w:rPr>
        <w:t>TPS</w:t>
      </w:r>
      <w:r>
        <w:rPr>
          <w:rFonts w:cs="Arial" w:ascii="Arial" w:hAnsi="Arial"/>
          <w:kern w:val="0"/>
          <w:sz w:val="22"/>
          <w:szCs w:val="22"/>
        </w:rPr>
        <w:t>) - Negative (&lt; 1%), Low expression (1-49%), Positive (&gt;= 50%)</w:t>
      </w:r>
    </w:p>
    <w:p>
      <w:pPr>
        <w:pStyle w:val="Normal"/>
        <w:spacing w:lineRule="auto" w:line="240" w:before="0" w:after="0"/>
        <w:rPr/>
      </w:pPr>
      <w:r>
        <w:rPr>
          <w:rFonts w:cs="Arial" w:ascii="Arial" w:hAnsi="Arial"/>
          <w:kern w:val="0"/>
          <w:sz w:val="22"/>
          <w:szCs w:val="22"/>
        </w:rPr>
        <w:t xml:space="preserve">Batch controls: </w:t>
      </w:r>
      <w:r>
        <w:rPr>
          <w:rFonts w:cs="Arial" w:ascii="Arial" w:hAnsi="Arial"/>
          <w:b/>
          <w:bCs/>
          <w:kern w:val="0"/>
          <w:sz w:val="22"/>
          <w:szCs w:val="22"/>
        </w:rPr>
        <w:t>Adequate</w:t>
      </w:r>
      <w:r>
        <w:rPr>
          <w:rFonts w:cs="Arial" w:ascii="Arial" w:hAnsi="Arial"/>
          <w:kern w:val="0"/>
          <w:sz w:val="22"/>
          <w:szCs w:val="22"/>
        </w:rPr>
        <w:t xml:space="preserve">; On slide controls: </w:t>
      </w:r>
      <w:r>
        <w:rPr>
          <w:rFonts w:cs="Arial" w:ascii="Arial" w:hAnsi="Arial"/>
          <w:b/>
          <w:bCs/>
          <w:kern w:val="0"/>
          <w:sz w:val="22"/>
          <w:szCs w:val="22"/>
        </w:rPr>
        <w:t>Adequate</w:t>
      </w:r>
      <w:r>
        <w:rPr>
          <w:rFonts w:cs="Arial" w:ascii="Arial" w:hAnsi="Arial"/>
          <w:kern w:val="0"/>
          <w:sz w:val="22"/>
          <w:szCs w:val="22"/>
        </w:rPr>
        <w:t xml:space="preserve">; Immune cell staining: </w:t>
      </w:r>
      <w:r>
        <w:rPr>
          <w:rFonts w:cs="Arial" w:ascii="Arial" w:hAnsi="Arial"/>
          <w:b/>
          <w:bCs/>
          <w:kern w:val="0"/>
          <w:sz w:val="22"/>
          <w:szCs w:val="22"/>
        </w:rPr>
        <w:t>Present</w:t>
      </w:r>
      <w:r>
        <w:rPr>
          <w:rFonts w:cs="Arial" w:ascii="Arial" w:hAnsi="Arial"/>
          <w:kern w:val="0"/>
          <w:sz w:val="22"/>
          <w:szCs w:val="22"/>
        </w:rPr>
        <w:t xml:space="preserve">; </w:t>
      </w:r>
    </w:p>
    <w:p>
      <w:pPr>
        <w:pStyle w:val="Normal"/>
        <w:spacing w:lineRule="auto" w:line="240" w:before="0" w:after="0"/>
        <w:rPr>
          <w:rFonts w:ascii="Arial" w:hAnsi="Arial" w:cs="Arial"/>
          <w:kern w:val="0"/>
          <w:sz w:val="22"/>
          <w:szCs w:val="22"/>
        </w:rPr>
      </w:pPr>
      <w:r>
        <w:rPr>
          <w:rFonts w:cs="Arial" w:ascii="Arial" w:hAnsi="Arial"/>
          <w:kern w:val="0"/>
          <w:sz w:val="22"/>
          <w:szCs w:val="22"/>
        </w:rPr>
        <w:t>Disclaimer: Pembrolizumab is indicated for patients with advanced non-small cell lung carcinoma (stage IIIb and stage IV) whose tumors are PD-L1 positive with a total percentage score (TPS) &gt;= 50% and with disease progression on or after platinum-containing chemotherapy. Patients with EGFR or ALK mutations should have disease progression on authorized therapy for these mutations (EGFR and ALK) prior receiving Pembrolizumab. (Reference: Garon EB, et al. Pembrolizumab for treatment of non-small cell lung cancer. N Engl J Med 2015; 372:2018-28). PD-L1 22C3 pharm Dx was validated with tissue fixed in 10% neutral buffered formalin (NBF) for 12 to 72 hours. The method is not fully validated for shorter or longer fixation in NBF, other fixatives, extended ischemic time, treatment of tissue with microwaves or decalcification. This assay is not interchangeable with other PD-L1 assays and cannot be used for other type of cancers. Batch control includes 2 pelleted, formalin fixed paraffin embedded cell lines: NCI-H226 with moderate PD-L1 protein expression and MCF-7 with negative PD-L1 protein expression. On slide controls include one piece of tonsil (with expected PD-L1 staining positive in immune cells and keratinocytes) and one piece of liver (with expected PD-L1 staining negative in hepatocytes).</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kern w:val="0"/>
          <w:sz w:val="22"/>
          <w:szCs w:val="22"/>
        </w:rPr>
      </w:pPr>
      <w:r>
        <w:rPr>
          <w:rFonts w:cs="Arial" w:ascii="Arial" w:hAnsi="Arial"/>
          <w:kern w:val="0"/>
          <w:sz w:val="22"/>
          <w:szCs w:val="22"/>
        </w:rPr>
        <w:t>Test ID: PDL1NSCLCPEMBRO22C3</w:t>
      </w:r>
    </w:p>
    <w:p>
      <w:pPr>
        <w:pStyle w:val="Normal"/>
        <w:widowControl/>
        <w:bidi w:val="0"/>
        <w:spacing w:lineRule="auto" w:line="276" w:before="0" w:after="160"/>
        <w:jc w:val="left"/>
        <w:rPr/>
      </w:pPr>
      <w:r>
        <w:rPr/>
      </w:r>
    </w:p>
    <w:sectPr>
      <w:type w:val="nextPage"/>
      <w:pgSz w:w="12240" w:h="15840"/>
      <w:pgMar w:left="1800" w:right="180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DejaVu Sans"/>
        <w:kern w:val="2"/>
        <w:sz w:val="24"/>
        <w:szCs w:val="24"/>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160"/>
      <w:jc w:val="left"/>
    </w:pPr>
    <w:rPr>
      <w:rFonts w:ascii="Aptos" w:hAnsi="Aptos" w:eastAsia="Aptos" w:cs="DejaVu Sans"/>
      <w:color w:val="auto"/>
      <w:kern w:val="2"/>
      <w:sz w:val="24"/>
      <w:szCs w:val="24"/>
      <w:lang w:val="en-US" w:eastAsia="en-US" w:bidi="ar-SA"/>
    </w:rPr>
  </w:style>
  <w:style w:type="paragraph" w:styleId="Heading1">
    <w:name w:val="Heading 1"/>
    <w:basedOn w:val="Normal"/>
    <w:next w:val="Normal"/>
    <w:link w:val="Heading1Char"/>
    <w:qFormat/>
    <w:pPr>
      <w:keepNext w:val="true"/>
      <w:keepLines/>
      <w:numPr>
        <w:ilvl w:val="0"/>
        <w:numId w:val="0"/>
      </w:numPr>
      <w:spacing w:before="360" w:after="80"/>
      <w:outlineLvl w:val="0"/>
    </w:pPr>
    <w:rPr>
      <w:rFonts w:ascii="Aptos Display" w:hAnsi="Aptos Display" w:eastAsia="Aptos" w:cs="DejaVu Sans"/>
      <w:color w:val="0F4761"/>
      <w:sz w:val="40"/>
      <w:szCs w:val="40"/>
    </w:rPr>
  </w:style>
  <w:style w:type="paragraph" w:styleId="Heading2">
    <w:name w:val="Heading 2"/>
    <w:basedOn w:val="Normal"/>
    <w:next w:val="Normal"/>
    <w:link w:val="Heading2Char"/>
    <w:qFormat/>
    <w:pPr>
      <w:keepNext w:val="true"/>
      <w:keepLines/>
      <w:numPr>
        <w:ilvl w:val="0"/>
        <w:numId w:val="0"/>
      </w:numPr>
      <w:spacing w:before="160" w:after="80"/>
      <w:outlineLvl w:val="1"/>
    </w:pPr>
    <w:rPr>
      <w:rFonts w:ascii="Aptos Display" w:hAnsi="Aptos Display" w:eastAsia="Aptos" w:cs="DejaVu Sans"/>
      <w:color w:val="0F4761"/>
      <w:sz w:val="32"/>
      <w:szCs w:val="32"/>
    </w:rPr>
  </w:style>
  <w:style w:type="paragraph" w:styleId="Heading3">
    <w:name w:val="Heading 3"/>
    <w:basedOn w:val="Normal"/>
    <w:next w:val="Normal"/>
    <w:link w:val="Heading3Char"/>
    <w:qFormat/>
    <w:pPr>
      <w:keepNext w:val="true"/>
      <w:keepLines/>
      <w:numPr>
        <w:ilvl w:val="0"/>
        <w:numId w:val="0"/>
      </w:numPr>
      <w:spacing w:before="160" w:after="80"/>
      <w:outlineLvl w:val="2"/>
    </w:pPr>
    <w:rPr>
      <w:rFonts w:eastAsia="Aptos" w:cs="DejaVu Sans"/>
      <w:color w:val="0F4761"/>
      <w:sz w:val="28"/>
      <w:szCs w:val="28"/>
    </w:rPr>
  </w:style>
  <w:style w:type="paragraph" w:styleId="Heading4">
    <w:name w:val="Heading 4"/>
    <w:basedOn w:val="Normal"/>
    <w:next w:val="Normal"/>
    <w:link w:val="Heading4Char"/>
    <w:qFormat/>
    <w:pPr>
      <w:keepNext w:val="true"/>
      <w:keepLines/>
      <w:numPr>
        <w:ilvl w:val="0"/>
        <w:numId w:val="0"/>
      </w:numPr>
      <w:spacing w:before="80" w:after="40"/>
      <w:outlineLvl w:val="3"/>
    </w:pPr>
    <w:rPr>
      <w:rFonts w:eastAsia="Aptos" w:cs="DejaVu Sans"/>
      <w:i/>
      <w:iCs/>
      <w:color w:val="0F4761"/>
    </w:rPr>
  </w:style>
  <w:style w:type="paragraph" w:styleId="Heading5">
    <w:name w:val="Heading 5"/>
    <w:basedOn w:val="Normal"/>
    <w:next w:val="Normal"/>
    <w:link w:val="Heading5Char"/>
    <w:qFormat/>
    <w:pPr>
      <w:keepNext w:val="true"/>
      <w:keepLines/>
      <w:numPr>
        <w:ilvl w:val="0"/>
        <w:numId w:val="0"/>
      </w:numPr>
      <w:spacing w:before="80" w:after="40"/>
      <w:outlineLvl w:val="4"/>
    </w:pPr>
    <w:rPr>
      <w:rFonts w:eastAsia="Aptos" w:cs="DejaVu Sans"/>
      <w:color w:val="0F4761"/>
    </w:rPr>
  </w:style>
  <w:style w:type="paragraph" w:styleId="Heading6">
    <w:name w:val="Heading 6"/>
    <w:basedOn w:val="Normal"/>
    <w:next w:val="Normal"/>
    <w:link w:val="Heading6Char"/>
    <w:qFormat/>
    <w:pPr>
      <w:keepNext w:val="true"/>
      <w:keepLines/>
      <w:numPr>
        <w:ilvl w:val="0"/>
        <w:numId w:val="0"/>
      </w:numPr>
      <w:spacing w:before="40" w:after="0"/>
      <w:outlineLvl w:val="5"/>
    </w:pPr>
    <w:rPr>
      <w:rFonts w:eastAsia="Aptos" w:cs="DejaVu Sans"/>
      <w:i/>
      <w:iCs/>
      <w:color w:val="595959"/>
    </w:rPr>
  </w:style>
  <w:style w:type="paragraph" w:styleId="Heading7">
    <w:name w:val="Heading 7"/>
    <w:basedOn w:val="Normal"/>
    <w:next w:val="Normal"/>
    <w:link w:val="Heading7Char"/>
    <w:qFormat/>
    <w:pPr>
      <w:keepNext w:val="true"/>
      <w:keepLines/>
      <w:numPr>
        <w:ilvl w:val="0"/>
        <w:numId w:val="0"/>
      </w:numPr>
      <w:spacing w:before="40" w:after="0"/>
      <w:outlineLvl w:val="6"/>
    </w:pPr>
    <w:rPr>
      <w:rFonts w:eastAsia="Aptos" w:cs="DejaVu Sans"/>
      <w:color w:val="595959"/>
    </w:rPr>
  </w:style>
  <w:style w:type="paragraph" w:styleId="Heading8">
    <w:name w:val="Heading 8"/>
    <w:basedOn w:val="Normal"/>
    <w:next w:val="Normal"/>
    <w:link w:val="Heading8Char"/>
    <w:qFormat/>
    <w:pPr>
      <w:keepNext w:val="true"/>
      <w:keepLines/>
      <w:numPr>
        <w:ilvl w:val="0"/>
        <w:numId w:val="0"/>
      </w:numPr>
      <w:spacing w:before="0" w:after="0"/>
      <w:outlineLvl w:val="7"/>
    </w:pPr>
    <w:rPr>
      <w:rFonts w:eastAsia="Aptos" w:cs="DejaVu Sans"/>
      <w:i/>
      <w:iCs/>
      <w:color w:val="272727"/>
    </w:rPr>
  </w:style>
  <w:style w:type="paragraph" w:styleId="Heading9">
    <w:name w:val="Heading 9"/>
    <w:basedOn w:val="Normal"/>
    <w:next w:val="Normal"/>
    <w:link w:val="Heading9Char"/>
    <w:qFormat/>
    <w:pPr>
      <w:keepNext w:val="true"/>
      <w:keepLines/>
      <w:numPr>
        <w:ilvl w:val="0"/>
        <w:numId w:val="0"/>
      </w:numPr>
      <w:spacing w:before="0" w:after="0"/>
      <w:outlineLvl w:val="8"/>
    </w:pPr>
    <w:rPr>
      <w:rFonts w:eastAsia="Aptos" w:cs="DejaVu Sans"/>
      <w:color w:val="272727"/>
    </w:rPr>
  </w:style>
  <w:style w:type="character" w:styleId="DefaultParagraphFont">
    <w:name w:val="Default Paragraph Font"/>
    <w:qFormat/>
    <w:rPr/>
  </w:style>
  <w:style w:type="character" w:styleId="Heading1Char">
    <w:name w:val="Heading 1 Char"/>
    <w:basedOn w:val="DefaultParagraphFont"/>
    <w:link w:val="Heading1"/>
    <w:qFormat/>
    <w:rPr>
      <w:rFonts w:ascii="Aptos Display" w:hAnsi="Aptos Display" w:eastAsia="Aptos" w:cs="DejaVu Sans"/>
      <w:color w:val="0F4761"/>
      <w:sz w:val="40"/>
      <w:szCs w:val="40"/>
    </w:rPr>
  </w:style>
  <w:style w:type="character" w:styleId="Heading2Char">
    <w:name w:val="Heading 2 Char"/>
    <w:basedOn w:val="DefaultParagraphFont"/>
    <w:link w:val="Heading2"/>
    <w:qFormat/>
    <w:rPr>
      <w:rFonts w:ascii="Aptos Display" w:hAnsi="Aptos Display" w:eastAsia="Aptos" w:cs="DejaVu Sans"/>
      <w:color w:val="0F4761"/>
      <w:sz w:val="32"/>
      <w:szCs w:val="32"/>
    </w:rPr>
  </w:style>
  <w:style w:type="character" w:styleId="Heading3Char">
    <w:name w:val="Heading 3 Char"/>
    <w:basedOn w:val="DefaultParagraphFont"/>
    <w:link w:val="Heading3"/>
    <w:qFormat/>
    <w:rPr>
      <w:rFonts w:eastAsia="Aptos" w:cs="DejaVu Sans"/>
      <w:color w:val="0F4761"/>
      <w:sz w:val="28"/>
      <w:szCs w:val="28"/>
    </w:rPr>
  </w:style>
  <w:style w:type="character" w:styleId="Heading4Char">
    <w:name w:val="Heading 4 Char"/>
    <w:basedOn w:val="DefaultParagraphFont"/>
    <w:link w:val="Heading4"/>
    <w:qFormat/>
    <w:rPr>
      <w:rFonts w:eastAsia="Aptos" w:cs="DejaVu Sans"/>
      <w:i/>
      <w:iCs/>
      <w:color w:val="0F4761"/>
    </w:rPr>
  </w:style>
  <w:style w:type="character" w:styleId="Heading5Char">
    <w:name w:val="Heading 5 Char"/>
    <w:basedOn w:val="DefaultParagraphFont"/>
    <w:link w:val="Heading5"/>
    <w:qFormat/>
    <w:rPr>
      <w:rFonts w:eastAsia="Aptos" w:cs="DejaVu Sans"/>
      <w:color w:val="0F4761"/>
    </w:rPr>
  </w:style>
  <w:style w:type="character" w:styleId="Heading6Char">
    <w:name w:val="Heading 6 Char"/>
    <w:basedOn w:val="DefaultParagraphFont"/>
    <w:link w:val="Heading6"/>
    <w:qFormat/>
    <w:rPr>
      <w:rFonts w:eastAsia="Aptos" w:cs="DejaVu Sans"/>
      <w:i/>
      <w:iCs/>
      <w:color w:val="595959"/>
    </w:rPr>
  </w:style>
  <w:style w:type="character" w:styleId="Heading7Char">
    <w:name w:val="Heading 7 Char"/>
    <w:basedOn w:val="DefaultParagraphFont"/>
    <w:link w:val="Heading7"/>
    <w:qFormat/>
    <w:rPr>
      <w:rFonts w:eastAsia="Aptos" w:cs="DejaVu Sans"/>
      <w:color w:val="595959"/>
    </w:rPr>
  </w:style>
  <w:style w:type="character" w:styleId="Heading8Char">
    <w:name w:val="Heading 8 Char"/>
    <w:basedOn w:val="DefaultParagraphFont"/>
    <w:link w:val="Heading8"/>
    <w:qFormat/>
    <w:rPr>
      <w:rFonts w:eastAsia="Aptos" w:cs="DejaVu Sans"/>
      <w:i/>
      <w:iCs/>
      <w:color w:val="272727"/>
    </w:rPr>
  </w:style>
  <w:style w:type="character" w:styleId="Heading9Char">
    <w:name w:val="Heading 9 Char"/>
    <w:basedOn w:val="DefaultParagraphFont"/>
    <w:link w:val="Heading9"/>
    <w:qFormat/>
    <w:rPr>
      <w:rFonts w:eastAsia="Aptos" w:cs="DejaVu Sans"/>
      <w:color w:val="272727"/>
    </w:rPr>
  </w:style>
  <w:style w:type="character" w:styleId="TitleChar">
    <w:name w:val="Title Char"/>
    <w:basedOn w:val="DefaultParagraphFont"/>
    <w:link w:val="Title"/>
    <w:qFormat/>
    <w:rPr>
      <w:rFonts w:ascii="Aptos Display" w:hAnsi="Aptos Display" w:eastAsia="Aptos" w:cs="DejaVu Sans"/>
      <w:spacing w:val="-10"/>
      <w:kern w:val="2"/>
      <w:sz w:val="56"/>
      <w:szCs w:val="56"/>
    </w:rPr>
  </w:style>
  <w:style w:type="character" w:styleId="SubtitleChar">
    <w:name w:val="Subtitle Char"/>
    <w:basedOn w:val="DefaultParagraphFont"/>
    <w:link w:val="Subtitle"/>
    <w:qFormat/>
    <w:rPr>
      <w:rFonts w:eastAsia="Aptos" w:cs="DejaVu Sans"/>
      <w:color w:val="595959"/>
      <w:spacing w:val="15"/>
      <w:sz w:val="28"/>
      <w:szCs w:val="28"/>
    </w:rPr>
  </w:style>
  <w:style w:type="character" w:styleId="QuoteChar">
    <w:name w:val="Quote Char"/>
    <w:basedOn w:val="DefaultParagraphFont"/>
    <w:link w:val="Quote"/>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link w:val="IntenseQuote"/>
    <w:qFormat/>
    <w:rPr>
      <w:i/>
      <w:iCs/>
      <w:color w:val="0F4761"/>
    </w:rPr>
  </w:style>
  <w:style w:type="character" w:styleId="IntenseReference">
    <w:name w:val="Intense Reference"/>
    <w:basedOn w:val="DefaultParagraphFont"/>
    <w:qFormat/>
    <w:rPr>
      <w:b/>
      <w:bCs/>
      <w:smallCaps/>
      <w:color w:val="0F4761"/>
      <w:spacing w:val="5"/>
    </w:rPr>
  </w:style>
  <w:style w:type="character" w:styleId="InternetLink">
    <w:name w:val="Hyper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qFormat/>
    <w:pPr>
      <w:spacing w:lineRule="auto" w:line="240" w:before="0" w:after="80"/>
      <w:contextualSpacing/>
    </w:pPr>
    <w:rPr>
      <w:rFonts w:ascii="Aptos Display" w:hAnsi="Aptos Display" w:eastAsia="Aptos" w:cs="DejaVu Sans"/>
      <w:spacing w:val="-10"/>
      <w:kern w:val="2"/>
      <w:sz w:val="56"/>
      <w:szCs w:val="56"/>
    </w:rPr>
  </w:style>
  <w:style w:type="paragraph" w:styleId="Subtitle">
    <w:name w:val="Subtitle"/>
    <w:basedOn w:val="Normal"/>
    <w:next w:val="Normal"/>
    <w:link w:val="SubtitleChar"/>
    <w:qFormat/>
    <w:pPr/>
    <w:rPr>
      <w:rFonts w:eastAsia="Aptos" w:cs="DejaVu Sans"/>
      <w:color w:val="595959"/>
      <w:spacing w:val="15"/>
      <w:sz w:val="28"/>
      <w:szCs w:val="28"/>
    </w:rPr>
  </w:style>
  <w:style w:type="paragraph" w:styleId="Quote">
    <w:name w:val="Quote"/>
    <w:basedOn w:val="Normal"/>
    <w:next w:val="Normal"/>
    <w:link w:val="QuoteChar"/>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hanging="0"/>
      <w:jc w:val="center"/>
    </w:pPr>
    <w:rPr>
      <w:i/>
      <w:iCs/>
      <w:color w:val="0F4761"/>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51</TotalTime>
  <Application>LibreOffice/7.3.7.2$Linux_X86_64 LibreOffice_project/30$Build-2</Application>
  <AppVersion>15.0000</AppVersion>
  <Pages>1</Pages>
  <Words>271</Words>
  <Characters>1528</Characters>
  <CharactersWithSpaces>1796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2026-04-07T16:34:00Z</dcterms:created>
  <dc:creator>Gilbert Bigras</dc:creator>
  <dc:description/>
  <dc:language>en-CA</dc:language>
  <cp:lastModifiedBy>Gilbert Bigras</cp:lastModifiedBy>
  <dcterms:modified xsi:type="dcterms:W3CDTF">2026-04-07T14:58:20Z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