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PD-L1 IHC BIOMARKER</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Assay Purpose:</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iagnostic : Triple Negative Breast Cancer</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rug: Pembrolizumab (Merck)</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iagnostic test: PDL1 Dako 22C3 pharmDX</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pPr>
      <w:r>
        <w:rPr>
          <w:rFonts w:cs="Arial" w:ascii="Arial" w:hAnsi="Arial"/>
          <w:b/>
          <w:bCs/>
          <w:kern w:val="0"/>
          <w:sz w:val="22"/>
          <w:szCs w:val="22"/>
        </w:rPr>
        <w:t xml:space="preserve">Result:       Positive CPS &gt;= 10 </w:t>
      </w:r>
      <w:r>
        <w:rPr>
          <w:rFonts w:cs="Arial" w:ascii="Arial" w:hAnsi="Arial"/>
          <w:b/>
          <w:bCs/>
          <w:color w:val="FF0000"/>
          <w:kern w:val="0"/>
          <w:sz w:val="22"/>
          <w:szCs w:val="22"/>
        </w:rPr>
        <w:t>or</w:t>
      </w:r>
      <w:r>
        <w:rPr>
          <w:rFonts w:cs="Arial" w:ascii="Arial" w:hAnsi="Arial"/>
          <w:b/>
          <w:bCs/>
          <w:kern w:val="0"/>
          <w:sz w:val="22"/>
          <w:szCs w:val="22"/>
        </w:rPr>
        <w:t xml:space="preserve"> Negative CPS &lt; 10 </w:t>
      </w:r>
      <w:r>
        <w:rPr>
          <w:rFonts w:cs="Arial" w:ascii="Arial" w:hAnsi="Arial"/>
          <w:b/>
          <w:bCs/>
          <w:color w:val="FF0000"/>
          <w:kern w:val="0"/>
          <w:sz w:val="22"/>
          <w:szCs w:val="22"/>
        </w:rPr>
        <w:t>or</w:t>
      </w:r>
      <w:r>
        <w:rPr>
          <w:rFonts w:cs="Arial" w:ascii="Arial" w:hAnsi="Arial"/>
          <w:b/>
          <w:bCs/>
          <w:kern w:val="0"/>
          <w:sz w:val="22"/>
          <w:szCs w:val="22"/>
        </w:rPr>
        <w:t xml:space="preserve"> Inadequate</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 xml:space="preserve"> </w:t>
      </w:r>
    </w:p>
    <w:p>
      <w:pPr>
        <w:pStyle w:val="Normal"/>
        <w:spacing w:lineRule="auto" w:line="240" w:before="0" w:after="0"/>
        <w:rPr/>
      </w:pPr>
      <w:r>
        <w:rPr>
          <w:rFonts w:cs="Arial" w:ascii="Arial" w:hAnsi="Arial"/>
          <w:b/>
          <w:bCs/>
          <w:kern w:val="0"/>
          <w:sz w:val="22"/>
          <w:szCs w:val="22"/>
        </w:rPr>
        <w:t>Interpretation</w:t>
      </w:r>
      <w:r>
        <w:rPr>
          <w:rFonts w:cs="Arial" w:ascii="Arial" w:hAnsi="Arial"/>
          <w:kern w:val="0"/>
          <w:sz w:val="22"/>
          <w:szCs w:val="22"/>
        </w:rPr>
        <w:t>: Combined Proportion Score (</w:t>
      </w:r>
      <w:r>
        <w:rPr>
          <w:rFonts w:cs="Arial" w:ascii="Arial" w:hAnsi="Arial"/>
          <w:b/>
          <w:bCs/>
          <w:kern w:val="0"/>
          <w:sz w:val="22"/>
          <w:szCs w:val="22"/>
        </w:rPr>
        <w:t>CPS</w:t>
      </w:r>
      <w:r>
        <w:rPr>
          <w:rFonts w:cs="Arial" w:ascii="Arial" w:hAnsi="Arial"/>
          <w:kern w:val="0"/>
          <w:sz w:val="22"/>
          <w:szCs w:val="22"/>
        </w:rPr>
        <w:t>) - Negative (&lt; 10), *Positive (&gt;= 10)</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Performed on block ***</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pPr>
      <w:r>
        <w:rPr>
          <w:rFonts w:cs="Arial" w:ascii="Arial" w:hAnsi="Arial"/>
          <w:kern w:val="0"/>
          <w:sz w:val="22"/>
          <w:szCs w:val="22"/>
        </w:rPr>
        <w:t xml:space="preserve">Batch control: </w:t>
      </w:r>
      <w:r>
        <w:rPr>
          <w:rFonts w:cs="Arial" w:ascii="Arial" w:hAnsi="Arial"/>
          <w:b/>
          <w:bCs/>
          <w:kern w:val="0"/>
          <w:sz w:val="22"/>
          <w:szCs w:val="22"/>
        </w:rPr>
        <w:t>Adequate</w:t>
      </w:r>
      <w:r>
        <w:rPr>
          <w:rFonts w:cs="Arial" w:ascii="Arial" w:hAnsi="Arial"/>
          <w:kern w:val="0"/>
          <w:sz w:val="22"/>
          <w:szCs w:val="22"/>
        </w:rPr>
        <w:t xml:space="preserve">; on slide controls: </w:t>
      </w:r>
      <w:r>
        <w:rPr>
          <w:rFonts w:cs="Arial" w:ascii="Arial" w:hAnsi="Arial"/>
          <w:b/>
          <w:bCs/>
          <w:kern w:val="0"/>
          <w:sz w:val="22"/>
          <w:szCs w:val="22"/>
        </w:rPr>
        <w:t>Adequate</w:t>
      </w:r>
      <w:r>
        <w:rPr>
          <w:rFonts w:cs="Arial" w:ascii="Arial" w:hAnsi="Arial"/>
          <w:kern w:val="0"/>
          <w:sz w:val="22"/>
          <w:szCs w:val="22"/>
        </w:rPr>
        <w:t xml:space="preserve"> </w:t>
      </w:r>
    </w:p>
    <w:p>
      <w:pPr>
        <w:pStyle w:val="Normal"/>
        <w:spacing w:lineRule="auto" w:line="240" w:before="0" w:after="0"/>
        <w:rPr/>
      </w:pPr>
      <w:r>
        <w:rPr>
          <w:rFonts w:cs="Arial" w:ascii="Arial" w:hAnsi="Arial"/>
          <w:kern w:val="0"/>
          <w:sz w:val="22"/>
          <w:szCs w:val="22"/>
        </w:rPr>
        <w:t xml:space="preserve">Disclaimer: indication: adult patients in combination with chemotherapy with locally recurrent unresectable or metastatic </w:t>
      </w:r>
      <w:r>
        <w:rPr>
          <w:rFonts w:cs="Arial" w:ascii="Arial" w:hAnsi="Arial"/>
          <w:b/>
          <w:bCs/>
          <w:kern w:val="0"/>
          <w:sz w:val="22"/>
          <w:szCs w:val="22"/>
        </w:rPr>
        <w:t>triple-negative breast cancer</w:t>
      </w:r>
      <w:r>
        <w:rPr>
          <w:rFonts w:cs="Arial" w:ascii="Arial" w:hAnsi="Arial"/>
          <w:kern w:val="0"/>
          <w:sz w:val="22"/>
          <w:szCs w:val="22"/>
        </w:rPr>
        <w:t xml:space="preserve"> (TNBC), who have not received prior chemotherapy for metastatic disease and whose tumors express PD-L1 (Combined Positive Score [CPS] ≥ 10) as determined by a validated test (Keynote-355). PD-L1 22C3 pharm Dx was validated with tissue fixed in 10% neutral buffered formalin (NBF) for 12 to 72 hours. The method is not fully validated for shorter or longer fixation in NBF, other fixatives, extended ischemic time, treatment of tissue with microwaves or decalcification. Batch control includes 2 pelleted, formalin fixed paraffin embedded cell lines: NCI-H226 with moderate PD-L1 protein expression and MCF-7 with negative PD-L1 protein expression. On slide controls include one piece of tonsil (with expected PD-L1 staining positive in immune cells and keratinocytes) and one piece of liver (with expected PD-L1 staining negative in hepatocytes).  Furthermore for </w:t>
      </w:r>
      <w:r>
        <w:rPr>
          <w:rFonts w:cs="Arial" w:ascii="Arial" w:hAnsi="Arial"/>
          <w:b/>
          <w:bCs/>
          <w:kern w:val="0"/>
          <w:sz w:val="22"/>
          <w:szCs w:val="22"/>
        </w:rPr>
        <w:t>specimen adequacy</w:t>
      </w:r>
      <w:r>
        <w:rPr>
          <w:rFonts w:cs="Arial" w:ascii="Arial" w:hAnsi="Arial"/>
          <w:kern w:val="0"/>
          <w:sz w:val="22"/>
          <w:szCs w:val="22"/>
        </w:rPr>
        <w:t>, this assessment should only rely on tissue showing invasive carcinoma (except rare instances, should not be performed on cytological specimen) and must include a minimum of 100 malignant cells.</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pPr>
      <w:r>
        <w:rPr>
          <w:rFonts w:cs="Arial" w:ascii="Arial" w:hAnsi="Arial"/>
          <w:kern w:val="0"/>
          <w:sz w:val="22"/>
          <w:szCs w:val="22"/>
          <w:lang w:val="fr-CA"/>
        </w:rPr>
        <w:t xml:space="preserve">Reference: Cortes, J., Cescon, DW., et al. </w:t>
      </w:r>
      <w:r>
        <w:rPr>
          <w:rFonts w:cs="Arial" w:ascii="Arial" w:hAnsi="Arial"/>
          <w:kern w:val="0"/>
          <w:sz w:val="22"/>
          <w:szCs w:val="22"/>
        </w:rPr>
        <w:t>Pembrolizumab plus chemotherapy versus placebo plus chemotherapy for previously untreated locally recurrent inoperable or metastatic triple-negative breast cancer (KEYNOTE-355): a randomised, placebo-controlled, double-blind, phase 3 clinical trial (DOI: 10.1016/S0140-6736(20)32531-9)</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Test ID: PDL1TNBC22C3PEMBRO</w:t>
      </w:r>
    </w:p>
    <w:p>
      <w:pPr>
        <w:pStyle w:val="Normal"/>
        <w:widowControl/>
        <w:bidi w:val="0"/>
        <w:spacing w:lineRule="auto" w:line="276" w:before="0" w:after="160"/>
        <w:jc w:val="left"/>
        <w:rPr/>
      </w:pPr>
      <w:r>
        <w:rPr/>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DejaVu Sans"/>
        <w:kern w:val="2"/>
        <w:sz w:val="24"/>
        <w:szCs w:val="24"/>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160"/>
      <w:jc w:val="left"/>
    </w:pPr>
    <w:rPr>
      <w:rFonts w:ascii="Aptos" w:hAnsi="Aptos" w:eastAsia="Aptos" w:cs="DejaVu Sans"/>
      <w:color w:val="auto"/>
      <w:kern w:val="2"/>
      <w:sz w:val="24"/>
      <w:szCs w:val="24"/>
      <w:lang w:val="en-US"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Aptos Display" w:hAnsi="Aptos Display" w:eastAsia="Aptos" w:cs="DejaVu Sans"/>
      <w:color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Aptos Display" w:hAnsi="Aptos Display" w:eastAsia="Aptos" w:cs="DejaVu Sans"/>
      <w:color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eastAsia="Aptos" w:cs="DejaVu Sans"/>
      <w:color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eastAsia="Aptos" w:cs="DejaVu Sans"/>
      <w:i/>
      <w:iCs/>
      <w:color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eastAsia="Aptos" w:cs="DejaVu Sans"/>
      <w:color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eastAsia="Aptos" w:cs="DejaVu Sans"/>
      <w:i/>
      <w:iCs/>
      <w:color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eastAsia="Aptos" w:cs="DejaVu Sans"/>
      <w:color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eastAsia="Aptos" w:cs="DejaVu Sans"/>
      <w:i/>
      <w:iCs/>
      <w:color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eastAsia="Aptos" w:cs="DejaVu Sans"/>
      <w:color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DejaVu Sans"/>
      <w:color w:val="0F4761"/>
      <w:sz w:val="40"/>
      <w:szCs w:val="40"/>
    </w:rPr>
  </w:style>
  <w:style w:type="character" w:styleId="Heading2Char">
    <w:name w:val="Heading 2 Char"/>
    <w:basedOn w:val="DefaultParagraphFont"/>
    <w:link w:val="Heading2"/>
    <w:qFormat/>
    <w:rPr>
      <w:rFonts w:ascii="Aptos Display" w:hAnsi="Aptos Display" w:eastAsia="Aptos" w:cs="DejaVu Sans"/>
      <w:color w:val="0F4761"/>
      <w:sz w:val="32"/>
      <w:szCs w:val="32"/>
    </w:rPr>
  </w:style>
  <w:style w:type="character" w:styleId="Heading3Char">
    <w:name w:val="Heading 3 Char"/>
    <w:basedOn w:val="DefaultParagraphFont"/>
    <w:link w:val="Heading3"/>
    <w:qFormat/>
    <w:rPr>
      <w:rFonts w:eastAsia="Aptos" w:cs="DejaVu Sans"/>
      <w:color w:val="0F4761"/>
      <w:sz w:val="28"/>
      <w:szCs w:val="28"/>
    </w:rPr>
  </w:style>
  <w:style w:type="character" w:styleId="Heading4Char">
    <w:name w:val="Heading 4 Char"/>
    <w:basedOn w:val="DefaultParagraphFont"/>
    <w:link w:val="Heading4"/>
    <w:qFormat/>
    <w:rPr>
      <w:rFonts w:eastAsia="Aptos" w:cs="DejaVu Sans"/>
      <w:i/>
      <w:iCs/>
      <w:color w:val="0F4761"/>
    </w:rPr>
  </w:style>
  <w:style w:type="character" w:styleId="Heading5Char">
    <w:name w:val="Heading 5 Char"/>
    <w:basedOn w:val="DefaultParagraphFont"/>
    <w:link w:val="Heading5"/>
    <w:qFormat/>
    <w:rPr>
      <w:rFonts w:eastAsia="Aptos" w:cs="DejaVu Sans"/>
      <w:color w:val="0F4761"/>
    </w:rPr>
  </w:style>
  <w:style w:type="character" w:styleId="Heading6Char">
    <w:name w:val="Heading 6 Char"/>
    <w:basedOn w:val="DefaultParagraphFont"/>
    <w:link w:val="Heading6"/>
    <w:qFormat/>
    <w:rPr>
      <w:rFonts w:eastAsia="Aptos" w:cs="DejaVu Sans"/>
      <w:i/>
      <w:iCs/>
      <w:color w:val="595959"/>
    </w:rPr>
  </w:style>
  <w:style w:type="character" w:styleId="Heading7Char">
    <w:name w:val="Heading 7 Char"/>
    <w:basedOn w:val="DefaultParagraphFont"/>
    <w:link w:val="Heading7"/>
    <w:qFormat/>
    <w:rPr>
      <w:rFonts w:eastAsia="Aptos" w:cs="DejaVu Sans"/>
      <w:color w:val="595959"/>
    </w:rPr>
  </w:style>
  <w:style w:type="character" w:styleId="Heading8Char">
    <w:name w:val="Heading 8 Char"/>
    <w:basedOn w:val="DefaultParagraphFont"/>
    <w:link w:val="Heading8"/>
    <w:qFormat/>
    <w:rPr>
      <w:rFonts w:eastAsia="Aptos" w:cs="DejaVu Sans"/>
      <w:i/>
      <w:iCs/>
      <w:color w:val="272727"/>
    </w:rPr>
  </w:style>
  <w:style w:type="character" w:styleId="Heading9Char">
    <w:name w:val="Heading 9 Char"/>
    <w:basedOn w:val="DefaultParagraphFont"/>
    <w:link w:val="Heading9"/>
    <w:qFormat/>
    <w:rPr>
      <w:rFonts w:eastAsia="Aptos" w:cs="DejaVu Sans"/>
      <w:color w:val="272727"/>
    </w:rPr>
  </w:style>
  <w:style w:type="character" w:styleId="TitleChar">
    <w:name w:val="Title Char"/>
    <w:basedOn w:val="DefaultParagraphFont"/>
    <w:link w:val="Title"/>
    <w:qFormat/>
    <w:rPr>
      <w:rFonts w:ascii="Aptos Display" w:hAnsi="Aptos Display" w:eastAsia="Aptos" w:cs="DejaVu Sans"/>
      <w:spacing w:val="-10"/>
      <w:kern w:val="2"/>
      <w:sz w:val="56"/>
      <w:szCs w:val="56"/>
    </w:rPr>
  </w:style>
  <w:style w:type="character" w:styleId="SubtitleChar">
    <w:name w:val="Subtitle Char"/>
    <w:basedOn w:val="DefaultParagraphFont"/>
    <w:link w:val="Subtitle"/>
    <w:qFormat/>
    <w:rPr>
      <w:rFonts w:eastAsia="Aptos" w:cs="DejaVu Sans"/>
      <w:color w:val="595959"/>
      <w:spacing w:val="15"/>
      <w:sz w:val="28"/>
      <w:szCs w:val="28"/>
    </w:rPr>
  </w:style>
  <w:style w:type="character" w:styleId="QuoteChar">
    <w:name w:val="Quote Char"/>
    <w:basedOn w:val="DefaultParagraphFont"/>
    <w:link w:val="Quote"/>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link w:val="IntenseQuote"/>
    <w:qFormat/>
    <w:rPr>
      <w:i/>
      <w:iCs/>
      <w:color w:val="0F4761"/>
    </w:rPr>
  </w:style>
  <w:style w:type="character" w:styleId="IntenseReference">
    <w:name w:val="Intense Reference"/>
    <w:basedOn w:val="DefaultParagraphFont"/>
    <w:qFormat/>
    <w:rPr>
      <w:b/>
      <w:bCs/>
      <w:smallCaps/>
      <w:color w:val="0F4761"/>
      <w:spacing w:val="5"/>
    </w:rPr>
  </w:style>
  <w:style w:type="character" w:styleId="InternetLink">
    <w:name w:val="Hyper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DejaVu Sans"/>
      <w:spacing w:val="-10"/>
      <w:kern w:val="2"/>
      <w:sz w:val="56"/>
      <w:szCs w:val="56"/>
    </w:rPr>
  </w:style>
  <w:style w:type="paragraph" w:styleId="Subtitle">
    <w:name w:val="Subtitle"/>
    <w:basedOn w:val="Normal"/>
    <w:next w:val="Normal"/>
    <w:link w:val="SubtitleChar"/>
    <w:qFormat/>
    <w:pPr/>
    <w:rPr>
      <w:rFonts w:eastAsia="Aptos" w:cs="DejaVu Sans"/>
      <w:color w:val="595959"/>
      <w:spacing w:val="15"/>
      <w:sz w:val="28"/>
      <w:szCs w:val="28"/>
    </w:rPr>
  </w:style>
  <w:style w:type="paragraph" w:styleId="Quote">
    <w:name w:val="Quote"/>
    <w:basedOn w:val="Normal"/>
    <w:next w:val="Normal"/>
    <w:link w:val="QuoteChar"/>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52</TotalTime>
  <Application>LibreOffice/7.3.7.2$Linux_X86_64 LibreOffice_project/30$Build-2</Application>
  <AppVersion>15.0000</AppVersion>
  <Pages>1</Pages>
  <Words>271</Words>
  <Characters>1683</Characters>
  <CharactersWithSpaces>1951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2026-04-07T16:34:00Z</dcterms:created>
  <dc:creator>Gilbert Bigras</dc:creator>
  <dc:description/>
  <dc:language>en-CA</dc:language>
  <cp:lastModifiedBy>Gilbert Bigras</cp:lastModifiedBy>
  <dcterms:modified xsi:type="dcterms:W3CDTF">2026-04-07T14:59:39Z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