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Arial" w:hAnsi="Arial" w:cs="Arial"/>
          <w:b/>
          <w:b/>
          <w:bCs/>
          <w:color w:val="000000"/>
          <w:kern w:val="0"/>
          <w:sz w:val="22"/>
          <w:szCs w:val="22"/>
        </w:rPr>
      </w:pPr>
      <w:r>
        <w:rPr>
          <w:rFonts w:cs="Arial" w:ascii="Arial" w:hAnsi="Arial"/>
          <w:b/>
          <w:bCs/>
          <w:color w:val="000000"/>
          <w:kern w:val="0"/>
          <w:sz w:val="22"/>
          <w:szCs w:val="22"/>
        </w:rPr>
        <w:t xml:space="preserve">PD-L1 IHC BIOMARKER </w:t>
      </w:r>
    </w:p>
    <w:p>
      <w:pPr>
        <w:pStyle w:val="Normal"/>
        <w:spacing w:lineRule="auto" w:line="240" w:before="0" w:after="0"/>
        <w:rPr>
          <w:rFonts w:ascii="Arial" w:hAnsi="Arial" w:cs="Arial"/>
          <w:color w:val="000000"/>
          <w:kern w:val="0"/>
          <w:sz w:val="22"/>
          <w:szCs w:val="22"/>
        </w:rPr>
      </w:pPr>
      <w:r>
        <w:rPr>
          <w:rFonts w:cs="Arial" w:ascii="Arial" w:hAnsi="Arial"/>
          <w:color w:val="000000"/>
          <w:kern w:val="0"/>
          <w:sz w:val="22"/>
          <w:szCs w:val="22"/>
        </w:rPr>
        <w:t xml:space="preserve">  </w:t>
      </w:r>
    </w:p>
    <w:p>
      <w:pPr>
        <w:pStyle w:val="Normal"/>
        <w:spacing w:lineRule="auto" w:line="240" w:before="0" w:after="0"/>
        <w:rPr>
          <w:rFonts w:ascii="Arial" w:hAnsi="Arial" w:cs="Arial"/>
          <w:color w:val="000000"/>
          <w:kern w:val="0"/>
          <w:sz w:val="22"/>
          <w:szCs w:val="22"/>
        </w:rPr>
      </w:pPr>
      <w:r>
        <w:rPr>
          <w:rFonts w:cs="Arial" w:ascii="Arial" w:hAnsi="Arial"/>
          <w:color w:val="000000"/>
          <w:kern w:val="0"/>
          <w:sz w:val="22"/>
          <w:szCs w:val="22"/>
        </w:rPr>
        <w:t xml:space="preserve">Assay Purpose: </w:t>
      </w:r>
    </w:p>
    <w:p>
      <w:pPr>
        <w:pStyle w:val="Normal"/>
        <w:spacing w:lineRule="auto" w:line="240" w:before="0" w:after="0"/>
        <w:rPr>
          <w:rFonts w:ascii="Arial" w:hAnsi="Arial" w:cs="Arial"/>
          <w:color w:val="000000"/>
          <w:kern w:val="0"/>
          <w:sz w:val="22"/>
          <w:szCs w:val="22"/>
        </w:rPr>
      </w:pPr>
      <w:r>
        <w:rPr>
          <w:rFonts w:cs="Arial" w:ascii="Arial" w:hAnsi="Arial"/>
          <w:color w:val="000000"/>
          <w:kern w:val="0"/>
          <w:sz w:val="22"/>
          <w:szCs w:val="22"/>
        </w:rPr>
        <w:t xml:space="preserve">Diagnosis: Gastric, gastroesophageal, and esophageal adenocarcinoma, and esophageal squamous cell carcinoma </w:t>
      </w:r>
    </w:p>
    <w:p>
      <w:pPr>
        <w:pStyle w:val="Normal"/>
        <w:spacing w:lineRule="auto" w:line="240" w:before="0" w:after="0"/>
        <w:rPr/>
      </w:pPr>
      <w:r>
        <w:rPr>
          <w:rFonts w:cs="Arial" w:ascii="Arial" w:hAnsi="Arial"/>
          <w:color w:val="000000"/>
          <w:kern w:val="0"/>
          <w:sz w:val="22"/>
          <w:szCs w:val="22"/>
        </w:rPr>
        <w:t xml:space="preserve">Drugs: Pembrolizumab (Merck) and </w:t>
      </w:r>
      <w:r>
        <w:rPr>
          <w:rFonts w:cs="Arial" w:ascii="Arial" w:hAnsi="Arial"/>
          <w:kern w:val="0"/>
          <w:sz w:val="22"/>
          <w:szCs w:val="22"/>
        </w:rPr>
        <w:t>Nivolumab (Bristol Myers Squibb)</w:t>
      </w:r>
    </w:p>
    <w:p>
      <w:pPr>
        <w:pStyle w:val="Normal"/>
        <w:spacing w:lineRule="auto" w:line="240" w:before="0" w:after="0"/>
        <w:rPr>
          <w:rFonts w:ascii="Arial" w:hAnsi="Arial" w:cs="Arial"/>
          <w:color w:val="000000"/>
          <w:kern w:val="0"/>
          <w:sz w:val="22"/>
          <w:szCs w:val="22"/>
        </w:rPr>
      </w:pPr>
      <w:r>
        <w:rPr>
          <w:rFonts w:cs="Arial" w:ascii="Arial" w:hAnsi="Arial"/>
          <w:color w:val="000000"/>
          <w:kern w:val="0"/>
          <w:sz w:val="22"/>
          <w:szCs w:val="22"/>
        </w:rPr>
        <w:t xml:space="preserve">Diagnostic test: PDL1 Dako 22C3 PharmDX </w:t>
      </w:r>
    </w:p>
    <w:p>
      <w:pPr>
        <w:pStyle w:val="Normal"/>
        <w:spacing w:lineRule="auto" w:line="240" w:before="0" w:after="0"/>
        <w:rPr>
          <w:rFonts w:ascii="Arial" w:hAnsi="Arial" w:cs="Arial"/>
          <w:color w:val="000000"/>
          <w:kern w:val="0"/>
          <w:sz w:val="22"/>
          <w:szCs w:val="22"/>
        </w:rPr>
      </w:pPr>
      <w:r>
        <w:rPr>
          <w:rFonts w:cs="Arial" w:ascii="Arial" w:hAnsi="Arial"/>
          <w:color w:val="000000"/>
          <w:kern w:val="0"/>
          <w:sz w:val="22"/>
          <w:szCs w:val="22"/>
        </w:rPr>
        <w:t xml:space="preserve">  </w:t>
      </w:r>
    </w:p>
    <w:p>
      <w:pPr>
        <w:pStyle w:val="Normal"/>
        <w:spacing w:lineRule="auto" w:line="240" w:before="0" w:after="0"/>
        <w:rPr/>
      </w:pPr>
      <w:r>
        <w:rPr>
          <w:rFonts w:cs="Arial" w:ascii="Arial" w:hAnsi="Arial"/>
          <w:b/>
          <w:bCs/>
          <w:color w:val="000000"/>
          <w:kern w:val="0"/>
          <w:sz w:val="22"/>
          <w:szCs w:val="22"/>
        </w:rPr>
        <w:t xml:space="preserve">Result:     CPS &lt; 1 </w:t>
      </w:r>
      <w:r>
        <w:rPr>
          <w:rFonts w:cs="Arial" w:ascii="Arial" w:hAnsi="Arial"/>
          <w:b/>
          <w:bCs/>
          <w:color w:val="FF0000"/>
          <w:kern w:val="0"/>
          <w:sz w:val="22"/>
          <w:szCs w:val="22"/>
        </w:rPr>
        <w:t>OR</w:t>
      </w:r>
      <w:r>
        <w:rPr>
          <w:rFonts w:cs="Arial" w:ascii="Arial" w:hAnsi="Arial"/>
          <w:b/>
          <w:bCs/>
          <w:color w:val="000000"/>
          <w:kern w:val="0"/>
          <w:sz w:val="22"/>
          <w:szCs w:val="22"/>
        </w:rPr>
        <w:t xml:space="preserve"> CPS &gt;= 1 and &lt; 5 </w:t>
      </w:r>
      <w:r>
        <w:rPr>
          <w:rFonts w:cs="Arial" w:ascii="Arial" w:hAnsi="Arial"/>
          <w:b/>
          <w:bCs/>
          <w:color w:val="FF0000"/>
          <w:kern w:val="0"/>
          <w:sz w:val="22"/>
          <w:szCs w:val="22"/>
        </w:rPr>
        <w:t>OR</w:t>
      </w:r>
      <w:r>
        <w:rPr>
          <w:rFonts w:cs="Arial" w:ascii="Arial" w:hAnsi="Arial"/>
          <w:b/>
          <w:bCs/>
          <w:color w:val="000000"/>
          <w:kern w:val="0"/>
          <w:sz w:val="22"/>
          <w:szCs w:val="22"/>
        </w:rPr>
        <w:t xml:space="preserve"> CPS &gt;= 5 and &lt; 10 </w:t>
      </w:r>
      <w:r>
        <w:rPr>
          <w:rFonts w:cs="Arial" w:ascii="Arial" w:hAnsi="Arial"/>
          <w:b/>
          <w:bCs/>
          <w:color w:val="FF0000"/>
          <w:kern w:val="0"/>
          <w:sz w:val="22"/>
          <w:szCs w:val="22"/>
        </w:rPr>
        <w:t>OR</w:t>
      </w:r>
      <w:r>
        <w:rPr>
          <w:rFonts w:cs="Arial" w:ascii="Arial" w:hAnsi="Arial"/>
          <w:b/>
          <w:bCs/>
          <w:color w:val="000000"/>
          <w:kern w:val="0"/>
          <w:sz w:val="22"/>
          <w:szCs w:val="22"/>
        </w:rPr>
        <w:t xml:space="preserve"> CPS &gt;= 10 </w:t>
      </w:r>
      <w:r>
        <w:rPr>
          <w:rFonts w:cs="Arial" w:ascii="Arial" w:hAnsi="Arial"/>
          <w:b/>
          <w:bCs/>
          <w:color w:val="FF0000"/>
          <w:kern w:val="0"/>
          <w:sz w:val="22"/>
          <w:szCs w:val="22"/>
        </w:rPr>
        <w:t>OR</w:t>
      </w:r>
      <w:r>
        <w:rPr>
          <w:rFonts w:cs="Arial" w:ascii="Arial" w:hAnsi="Arial"/>
          <w:b/>
          <w:bCs/>
          <w:color w:val="000000"/>
          <w:kern w:val="0"/>
          <w:sz w:val="22"/>
          <w:szCs w:val="22"/>
        </w:rPr>
        <w:t xml:space="preserve"> Inadequate </w:t>
      </w:r>
    </w:p>
    <w:p>
      <w:pPr>
        <w:pStyle w:val="Normal"/>
        <w:spacing w:lineRule="auto" w:line="240" w:before="0" w:after="0"/>
        <w:rPr>
          <w:rFonts w:ascii="Arial" w:hAnsi="Arial" w:cs="Arial"/>
          <w:color w:val="000000"/>
          <w:kern w:val="0"/>
          <w:sz w:val="22"/>
          <w:szCs w:val="22"/>
        </w:rPr>
      </w:pPr>
      <w:r>
        <w:rPr>
          <w:rFonts w:cs="Arial" w:ascii="Arial" w:hAnsi="Arial"/>
          <w:color w:val="000000"/>
          <w:kern w:val="0"/>
          <w:sz w:val="22"/>
          <w:szCs w:val="22"/>
        </w:rPr>
      </w:r>
    </w:p>
    <w:p>
      <w:pPr>
        <w:pStyle w:val="Normal"/>
        <w:spacing w:lineRule="auto" w:line="240" w:before="0" w:after="0"/>
        <w:rPr>
          <w:rFonts w:ascii="Arial" w:hAnsi="Arial" w:cs="Arial"/>
          <w:color w:val="000000"/>
          <w:kern w:val="0"/>
          <w:sz w:val="22"/>
          <w:szCs w:val="22"/>
        </w:rPr>
      </w:pPr>
      <w:r>
        <w:rPr>
          <w:rFonts w:cs="Arial" w:ascii="Arial" w:hAnsi="Arial"/>
          <w:color w:val="000000"/>
          <w:kern w:val="0"/>
          <w:sz w:val="22"/>
          <w:szCs w:val="22"/>
        </w:rPr>
        <w:t>Interpretation: Combined Proportion Score (CPS) - Negative (&lt; 1), other results are interpreted with available biological and clinical parameters.</w:t>
      </w:r>
    </w:p>
    <w:p>
      <w:pPr>
        <w:pStyle w:val="Normal"/>
        <w:spacing w:lineRule="auto" w:line="240" w:before="0" w:after="0"/>
        <w:rPr>
          <w:rFonts w:ascii="Arial" w:hAnsi="Arial" w:cs="Arial"/>
          <w:color w:val="000000"/>
          <w:kern w:val="0"/>
          <w:sz w:val="22"/>
          <w:szCs w:val="22"/>
        </w:rPr>
      </w:pPr>
      <w:r>
        <w:rPr>
          <w:rFonts w:cs="Arial" w:ascii="Arial" w:hAnsi="Arial"/>
          <w:color w:val="000000"/>
          <w:kern w:val="0"/>
          <w:sz w:val="22"/>
          <w:szCs w:val="22"/>
        </w:rPr>
      </w:r>
    </w:p>
    <w:p>
      <w:pPr>
        <w:pStyle w:val="Normal"/>
        <w:spacing w:lineRule="auto" w:line="240" w:before="0" w:after="0"/>
        <w:rPr>
          <w:rFonts w:ascii="Arial" w:hAnsi="Arial" w:cs="Arial"/>
          <w:color w:val="000000"/>
          <w:kern w:val="0"/>
          <w:sz w:val="22"/>
          <w:szCs w:val="22"/>
        </w:rPr>
      </w:pPr>
      <w:r>
        <w:rPr>
          <w:rFonts w:cs="Arial" w:ascii="Arial" w:hAnsi="Arial"/>
          <w:color w:val="000000"/>
          <w:kern w:val="0"/>
          <w:sz w:val="22"/>
          <w:szCs w:val="22"/>
        </w:rPr>
        <w:t xml:space="preserve">Performed on block *** </w:t>
      </w:r>
    </w:p>
    <w:p>
      <w:pPr>
        <w:pStyle w:val="Normal"/>
        <w:spacing w:lineRule="auto" w:line="240" w:before="0" w:after="0"/>
        <w:rPr>
          <w:rFonts w:ascii="Arial" w:hAnsi="Arial" w:cs="Arial"/>
          <w:color w:val="000000"/>
          <w:kern w:val="0"/>
          <w:sz w:val="22"/>
          <w:szCs w:val="22"/>
        </w:rPr>
      </w:pPr>
      <w:r>
        <w:rPr>
          <w:rFonts w:cs="Arial" w:ascii="Arial" w:hAnsi="Arial"/>
          <w:color w:val="000000"/>
          <w:kern w:val="0"/>
          <w:sz w:val="22"/>
          <w:szCs w:val="22"/>
        </w:rPr>
        <w:t xml:space="preserve">  </w:t>
      </w:r>
    </w:p>
    <w:p>
      <w:pPr>
        <w:pStyle w:val="Normal"/>
        <w:spacing w:lineRule="auto" w:line="240" w:before="0" w:after="0"/>
        <w:rPr>
          <w:rFonts w:ascii="Arial" w:hAnsi="Arial" w:cs="Arial"/>
          <w:color w:val="000000"/>
          <w:kern w:val="0"/>
          <w:sz w:val="22"/>
          <w:szCs w:val="22"/>
        </w:rPr>
      </w:pPr>
      <w:r>
        <w:rPr>
          <w:rFonts w:cs="Arial" w:ascii="Arial" w:hAnsi="Arial"/>
          <w:color w:val="000000"/>
          <w:kern w:val="0"/>
          <w:sz w:val="22"/>
          <w:szCs w:val="22"/>
        </w:rPr>
        <w:t xml:space="preserve">Batch control: Adequate; on slide controls: Adequate.  </w:t>
      </w:r>
    </w:p>
    <w:p>
      <w:pPr>
        <w:pStyle w:val="Normal"/>
        <w:spacing w:lineRule="auto" w:line="240" w:before="0" w:after="0"/>
        <w:rPr>
          <w:rFonts w:ascii="Arial" w:hAnsi="Arial" w:cs="Arial"/>
          <w:color w:val="000000"/>
          <w:kern w:val="0"/>
          <w:sz w:val="22"/>
          <w:szCs w:val="22"/>
        </w:rPr>
      </w:pPr>
      <w:r>
        <w:rPr>
          <w:rFonts w:cs="Arial" w:ascii="Arial" w:hAnsi="Arial"/>
          <w:color w:val="000000"/>
          <w:kern w:val="0"/>
          <w:sz w:val="22"/>
          <w:szCs w:val="22"/>
        </w:rPr>
      </w:r>
    </w:p>
    <w:p>
      <w:pPr>
        <w:pStyle w:val="Normal"/>
        <w:spacing w:lineRule="auto" w:line="240" w:before="0" w:after="0"/>
        <w:rPr>
          <w:rFonts w:ascii="Arial" w:hAnsi="Arial" w:cs="Arial"/>
          <w:color w:val="000000"/>
          <w:kern w:val="0"/>
          <w:sz w:val="22"/>
          <w:szCs w:val="22"/>
        </w:rPr>
      </w:pPr>
      <w:r>
        <w:rPr>
          <w:rFonts w:cs="Arial" w:ascii="Arial" w:hAnsi="Arial"/>
          <w:color w:val="000000"/>
          <w:kern w:val="0"/>
          <w:sz w:val="22"/>
          <w:szCs w:val="22"/>
        </w:rPr>
        <w:t>Disclaimer: The above results represent an extension of existing clinical trial guidance, derived from meta-analytical data, and were provided at the request of the Alberta GI Oncology Group. It remains the sole responsibility of the treating oncologist to interpret these results in the context of clinical decision-making and to determine eligibility for immunotherapy in patients with upper gastrointestinal neoplasms. The laboratory’s role is limited to the provision of TPS and/or CPS results as reported above. The laboratory assumes no responsibility for clinical interpretation, therapeutic decision-making, or patient management based on these results. PD-L1 22C3 pharm Dx was validated with tissue fixed in 10% neutral buffered formalin (NBF) for 12 to 72 hours. The method is not fully validated for shorter or longer fixation in NBF, other fixatives, extended ischemic time, treatment of tissue with microwaves or decalcification. In the context of upper GI neoplasms 22C3 was considered interchangeable with the PD-L1 assay 28-8 (see reference below). Batch control includes 2 pelleted, formalin fixed paraffin embedded cell lines: NCI-H226 with moderate PD-L1 protein expression and MCF-7 with negative PD-L1 protein expression. On slide controls include one piece of tonsil (with expected PD-L1 staining positive in immune cells and keratinocytes) and one piece of liver (with expected PD-L1 staining negative in hepatocytes). Furthermore, for specimen adequacy, this assessment should only rely on tissue showing invasive carcinoma and must include a minimum of 100 malignant cells.</w:t>
      </w:r>
    </w:p>
    <w:p>
      <w:pPr>
        <w:pStyle w:val="Normal"/>
        <w:spacing w:lineRule="auto" w:line="240" w:before="0" w:after="0"/>
        <w:rPr>
          <w:rFonts w:ascii="Arial" w:hAnsi="Arial" w:cs="Arial"/>
          <w:color w:val="000000"/>
          <w:kern w:val="0"/>
          <w:sz w:val="22"/>
          <w:szCs w:val="22"/>
        </w:rPr>
      </w:pPr>
      <w:r>
        <w:rPr>
          <w:rFonts w:cs="Arial" w:ascii="Arial" w:hAnsi="Arial"/>
          <w:color w:val="000000"/>
          <w:kern w:val="0"/>
          <w:sz w:val="22"/>
          <w:szCs w:val="22"/>
        </w:rPr>
      </w:r>
    </w:p>
    <w:p>
      <w:pPr>
        <w:pStyle w:val="Normal"/>
        <w:spacing w:lineRule="auto" w:line="240" w:before="0" w:after="0"/>
        <w:rPr>
          <w:rFonts w:ascii="Arial" w:hAnsi="Arial" w:cs="Arial"/>
          <w:color w:val="000000"/>
          <w:kern w:val="0"/>
          <w:sz w:val="22"/>
          <w:szCs w:val="22"/>
        </w:rPr>
      </w:pPr>
      <w:r>
        <w:rPr>
          <w:rFonts w:cs="Arial" w:ascii="Arial" w:hAnsi="Arial"/>
          <w:color w:val="000000"/>
          <w:kern w:val="0"/>
          <w:sz w:val="22"/>
          <w:szCs w:val="22"/>
        </w:rPr>
        <w:t>Reference: PD-L1 expression in gastric cancer: interchangeability of 22C3 and 28-8 pharmDX assays for responses to immunotherapy. Modern Pathology. 2021;34(9):1719-1727.</w:t>
      </w:r>
    </w:p>
    <w:p>
      <w:pPr>
        <w:pStyle w:val="Normal"/>
        <w:spacing w:lineRule="auto" w:line="240" w:before="0" w:after="0"/>
        <w:rPr>
          <w:rFonts w:ascii="Arial" w:hAnsi="Arial" w:cs="Arial"/>
          <w:color w:val="000000"/>
          <w:kern w:val="0"/>
          <w:sz w:val="22"/>
          <w:szCs w:val="22"/>
        </w:rPr>
      </w:pPr>
      <w:r>
        <w:rPr>
          <w:rFonts w:cs="Arial" w:ascii="Arial" w:hAnsi="Arial"/>
          <w:color w:val="000000"/>
          <w:kern w:val="0"/>
          <w:sz w:val="22"/>
          <w:szCs w:val="22"/>
        </w:rPr>
      </w:r>
    </w:p>
    <w:p>
      <w:pPr>
        <w:pStyle w:val="Normal"/>
        <w:spacing w:lineRule="auto" w:line="240" w:before="0" w:after="0"/>
        <w:rPr>
          <w:rFonts w:ascii="Arial" w:hAnsi="Arial" w:cs="Arial"/>
          <w:color w:val="000000"/>
          <w:kern w:val="0"/>
          <w:sz w:val="22"/>
          <w:szCs w:val="22"/>
        </w:rPr>
      </w:pPr>
      <w:r>
        <w:rPr>
          <w:rFonts w:cs="Arial" w:ascii="Arial" w:hAnsi="Arial"/>
          <w:color w:val="000000"/>
          <w:kern w:val="0"/>
          <w:sz w:val="22"/>
          <w:szCs w:val="22"/>
        </w:rPr>
        <w:t>Test ID: PDL1UPPERGIMARCH2026</w:t>
      </w:r>
    </w:p>
    <w:p>
      <w:pPr>
        <w:pStyle w:val="Normal"/>
        <w:widowControl/>
        <w:bidi w:val="0"/>
        <w:spacing w:lineRule="auto" w:line="276" w:before="0" w:after="160"/>
        <w:jc w:val="left"/>
        <w:rPr/>
      </w:pPr>
      <w:r>
        <w:rPr/>
      </w:r>
    </w:p>
    <w:sectPr>
      <w:type w:val="nextPage"/>
      <w:pgSz w:w="12240" w:h="15840"/>
      <w:pgMar w:left="1800" w:right="180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swiss"/>
    <w:pitch w:val="variable"/>
  </w:font>
  <w:font w:name="Arial">
    <w:charset w:val="01"/>
    <w:family w:val="roman"/>
    <w:pitch w:val="variable"/>
  </w:font>
</w:fonts>
</file>

<file path=word/settings.xml><?xml version="1.0" encoding="utf-8"?>
<w:settings xmlns:w="http://schemas.openxmlformats.org/wordprocessingml/2006/main">
  <w:zoom w:percent="2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DejaVu Sans"/>
        <w:kern w:val="2"/>
        <w:sz w:val="24"/>
        <w:szCs w:val="24"/>
        <w:lang w:val="en-US" w:eastAsia="en-US" w:bidi="ar-SA"/>
      </w:rPr>
    </w:rPrDefault>
    <w:pPrDefault>
      <w:pPr>
        <w:suppressAutoHyphens w:val="true"/>
      </w:pPr>
    </w:pPrDefault>
  </w:docDefaults>
  <w:style w:type="paragraph" w:styleId="Normal">
    <w:name w:val="Normal"/>
    <w:qFormat/>
    <w:pPr>
      <w:widowControl/>
      <w:kinsoku w:val="true"/>
      <w:overflowPunct w:val="true"/>
      <w:autoSpaceDE w:val="true"/>
      <w:bidi w:val="0"/>
      <w:spacing w:lineRule="auto" w:line="276" w:before="0" w:after="160"/>
      <w:jc w:val="left"/>
    </w:pPr>
    <w:rPr>
      <w:rFonts w:ascii="Aptos" w:hAnsi="Aptos" w:eastAsia="Aptos" w:cs="DejaVu Sans"/>
      <w:color w:val="auto"/>
      <w:kern w:val="2"/>
      <w:sz w:val="24"/>
      <w:szCs w:val="24"/>
      <w:lang w:val="en-US" w:eastAsia="en-US" w:bidi="ar-SA"/>
    </w:rPr>
  </w:style>
  <w:style w:type="paragraph" w:styleId="Heading1">
    <w:name w:val="Heading 1"/>
    <w:basedOn w:val="Normal"/>
    <w:next w:val="Normal"/>
    <w:link w:val="Heading1Char"/>
    <w:qFormat/>
    <w:pPr>
      <w:keepNext w:val="true"/>
      <w:keepLines/>
      <w:numPr>
        <w:ilvl w:val="0"/>
        <w:numId w:val="0"/>
      </w:numPr>
      <w:spacing w:before="360" w:after="80"/>
      <w:outlineLvl w:val="0"/>
    </w:pPr>
    <w:rPr>
      <w:rFonts w:ascii="Aptos Display" w:hAnsi="Aptos Display" w:eastAsia="Aptos" w:cs="DejaVu Sans"/>
      <w:color w:val="0F4761"/>
      <w:sz w:val="40"/>
      <w:szCs w:val="40"/>
    </w:rPr>
  </w:style>
  <w:style w:type="paragraph" w:styleId="Heading2">
    <w:name w:val="Heading 2"/>
    <w:basedOn w:val="Normal"/>
    <w:next w:val="Normal"/>
    <w:link w:val="Heading2Char"/>
    <w:qFormat/>
    <w:pPr>
      <w:keepNext w:val="true"/>
      <w:keepLines/>
      <w:numPr>
        <w:ilvl w:val="0"/>
        <w:numId w:val="0"/>
      </w:numPr>
      <w:spacing w:before="160" w:after="80"/>
      <w:outlineLvl w:val="1"/>
    </w:pPr>
    <w:rPr>
      <w:rFonts w:ascii="Aptos Display" w:hAnsi="Aptos Display" w:eastAsia="Aptos" w:cs="DejaVu Sans"/>
      <w:color w:val="0F4761"/>
      <w:sz w:val="32"/>
      <w:szCs w:val="32"/>
    </w:rPr>
  </w:style>
  <w:style w:type="paragraph" w:styleId="Heading3">
    <w:name w:val="Heading 3"/>
    <w:basedOn w:val="Normal"/>
    <w:next w:val="Normal"/>
    <w:link w:val="Heading3Char"/>
    <w:qFormat/>
    <w:pPr>
      <w:keepNext w:val="true"/>
      <w:keepLines/>
      <w:numPr>
        <w:ilvl w:val="0"/>
        <w:numId w:val="0"/>
      </w:numPr>
      <w:spacing w:before="160" w:after="80"/>
      <w:outlineLvl w:val="2"/>
    </w:pPr>
    <w:rPr>
      <w:rFonts w:eastAsia="Aptos" w:cs="DejaVu Sans"/>
      <w:color w:val="0F4761"/>
      <w:sz w:val="28"/>
      <w:szCs w:val="28"/>
    </w:rPr>
  </w:style>
  <w:style w:type="paragraph" w:styleId="Heading4">
    <w:name w:val="Heading 4"/>
    <w:basedOn w:val="Normal"/>
    <w:next w:val="Normal"/>
    <w:link w:val="Heading4Char"/>
    <w:qFormat/>
    <w:pPr>
      <w:keepNext w:val="true"/>
      <w:keepLines/>
      <w:numPr>
        <w:ilvl w:val="0"/>
        <w:numId w:val="0"/>
      </w:numPr>
      <w:spacing w:before="80" w:after="40"/>
      <w:outlineLvl w:val="3"/>
    </w:pPr>
    <w:rPr>
      <w:rFonts w:eastAsia="Aptos" w:cs="DejaVu Sans"/>
      <w:i/>
      <w:iCs/>
      <w:color w:val="0F4761"/>
    </w:rPr>
  </w:style>
  <w:style w:type="paragraph" w:styleId="Heading5">
    <w:name w:val="Heading 5"/>
    <w:basedOn w:val="Normal"/>
    <w:next w:val="Normal"/>
    <w:link w:val="Heading5Char"/>
    <w:qFormat/>
    <w:pPr>
      <w:keepNext w:val="true"/>
      <w:keepLines/>
      <w:numPr>
        <w:ilvl w:val="0"/>
        <w:numId w:val="0"/>
      </w:numPr>
      <w:spacing w:before="80" w:after="40"/>
      <w:outlineLvl w:val="4"/>
    </w:pPr>
    <w:rPr>
      <w:rFonts w:eastAsia="Aptos" w:cs="DejaVu Sans"/>
      <w:color w:val="0F4761"/>
    </w:rPr>
  </w:style>
  <w:style w:type="paragraph" w:styleId="Heading6">
    <w:name w:val="Heading 6"/>
    <w:basedOn w:val="Normal"/>
    <w:next w:val="Normal"/>
    <w:link w:val="Heading6Char"/>
    <w:qFormat/>
    <w:pPr>
      <w:keepNext w:val="true"/>
      <w:keepLines/>
      <w:numPr>
        <w:ilvl w:val="0"/>
        <w:numId w:val="0"/>
      </w:numPr>
      <w:spacing w:before="40" w:after="0"/>
      <w:outlineLvl w:val="5"/>
    </w:pPr>
    <w:rPr>
      <w:rFonts w:eastAsia="Aptos" w:cs="DejaVu Sans"/>
      <w:i/>
      <w:iCs/>
      <w:color w:val="595959"/>
    </w:rPr>
  </w:style>
  <w:style w:type="paragraph" w:styleId="Heading7">
    <w:name w:val="Heading 7"/>
    <w:basedOn w:val="Normal"/>
    <w:next w:val="Normal"/>
    <w:link w:val="Heading7Char"/>
    <w:qFormat/>
    <w:pPr>
      <w:keepNext w:val="true"/>
      <w:keepLines/>
      <w:numPr>
        <w:ilvl w:val="0"/>
        <w:numId w:val="0"/>
      </w:numPr>
      <w:spacing w:before="40" w:after="0"/>
      <w:outlineLvl w:val="6"/>
    </w:pPr>
    <w:rPr>
      <w:rFonts w:eastAsia="Aptos" w:cs="DejaVu Sans"/>
      <w:color w:val="595959"/>
    </w:rPr>
  </w:style>
  <w:style w:type="paragraph" w:styleId="Heading8">
    <w:name w:val="Heading 8"/>
    <w:basedOn w:val="Normal"/>
    <w:next w:val="Normal"/>
    <w:link w:val="Heading8Char"/>
    <w:qFormat/>
    <w:pPr>
      <w:keepNext w:val="true"/>
      <w:keepLines/>
      <w:numPr>
        <w:ilvl w:val="0"/>
        <w:numId w:val="0"/>
      </w:numPr>
      <w:spacing w:before="0" w:after="0"/>
      <w:outlineLvl w:val="7"/>
    </w:pPr>
    <w:rPr>
      <w:rFonts w:eastAsia="Aptos" w:cs="DejaVu Sans"/>
      <w:i/>
      <w:iCs/>
      <w:color w:val="272727"/>
    </w:rPr>
  </w:style>
  <w:style w:type="paragraph" w:styleId="Heading9">
    <w:name w:val="Heading 9"/>
    <w:basedOn w:val="Normal"/>
    <w:next w:val="Normal"/>
    <w:link w:val="Heading9Char"/>
    <w:qFormat/>
    <w:pPr>
      <w:keepNext w:val="true"/>
      <w:keepLines/>
      <w:numPr>
        <w:ilvl w:val="0"/>
        <w:numId w:val="0"/>
      </w:numPr>
      <w:spacing w:before="0" w:after="0"/>
      <w:outlineLvl w:val="8"/>
    </w:pPr>
    <w:rPr>
      <w:rFonts w:eastAsia="Aptos" w:cs="DejaVu Sans"/>
      <w:color w:val="272727"/>
    </w:rPr>
  </w:style>
  <w:style w:type="character" w:styleId="DefaultParagraphFont">
    <w:name w:val="Default Paragraph Font"/>
    <w:qFormat/>
    <w:rPr/>
  </w:style>
  <w:style w:type="character" w:styleId="Heading1Char">
    <w:name w:val="Heading 1 Char"/>
    <w:basedOn w:val="DefaultParagraphFont"/>
    <w:link w:val="Heading1"/>
    <w:qFormat/>
    <w:rPr>
      <w:rFonts w:ascii="Aptos Display" w:hAnsi="Aptos Display" w:eastAsia="Aptos" w:cs="DejaVu Sans"/>
      <w:color w:val="0F4761"/>
      <w:sz w:val="40"/>
      <w:szCs w:val="40"/>
    </w:rPr>
  </w:style>
  <w:style w:type="character" w:styleId="Heading2Char">
    <w:name w:val="Heading 2 Char"/>
    <w:basedOn w:val="DefaultParagraphFont"/>
    <w:link w:val="Heading2"/>
    <w:qFormat/>
    <w:rPr>
      <w:rFonts w:ascii="Aptos Display" w:hAnsi="Aptos Display" w:eastAsia="Aptos" w:cs="DejaVu Sans"/>
      <w:color w:val="0F4761"/>
      <w:sz w:val="32"/>
      <w:szCs w:val="32"/>
    </w:rPr>
  </w:style>
  <w:style w:type="character" w:styleId="Heading3Char">
    <w:name w:val="Heading 3 Char"/>
    <w:basedOn w:val="DefaultParagraphFont"/>
    <w:link w:val="Heading3"/>
    <w:qFormat/>
    <w:rPr>
      <w:rFonts w:eastAsia="Aptos" w:cs="DejaVu Sans"/>
      <w:color w:val="0F4761"/>
      <w:sz w:val="28"/>
      <w:szCs w:val="28"/>
    </w:rPr>
  </w:style>
  <w:style w:type="character" w:styleId="Heading4Char">
    <w:name w:val="Heading 4 Char"/>
    <w:basedOn w:val="DefaultParagraphFont"/>
    <w:link w:val="Heading4"/>
    <w:qFormat/>
    <w:rPr>
      <w:rFonts w:eastAsia="Aptos" w:cs="DejaVu Sans"/>
      <w:i/>
      <w:iCs/>
      <w:color w:val="0F4761"/>
    </w:rPr>
  </w:style>
  <w:style w:type="character" w:styleId="Heading5Char">
    <w:name w:val="Heading 5 Char"/>
    <w:basedOn w:val="DefaultParagraphFont"/>
    <w:link w:val="Heading5"/>
    <w:qFormat/>
    <w:rPr>
      <w:rFonts w:eastAsia="Aptos" w:cs="DejaVu Sans"/>
      <w:color w:val="0F4761"/>
    </w:rPr>
  </w:style>
  <w:style w:type="character" w:styleId="Heading6Char">
    <w:name w:val="Heading 6 Char"/>
    <w:basedOn w:val="DefaultParagraphFont"/>
    <w:link w:val="Heading6"/>
    <w:qFormat/>
    <w:rPr>
      <w:rFonts w:eastAsia="Aptos" w:cs="DejaVu Sans"/>
      <w:i/>
      <w:iCs/>
      <w:color w:val="595959"/>
    </w:rPr>
  </w:style>
  <w:style w:type="character" w:styleId="Heading7Char">
    <w:name w:val="Heading 7 Char"/>
    <w:basedOn w:val="DefaultParagraphFont"/>
    <w:link w:val="Heading7"/>
    <w:qFormat/>
    <w:rPr>
      <w:rFonts w:eastAsia="Aptos" w:cs="DejaVu Sans"/>
      <w:color w:val="595959"/>
    </w:rPr>
  </w:style>
  <w:style w:type="character" w:styleId="Heading8Char">
    <w:name w:val="Heading 8 Char"/>
    <w:basedOn w:val="DefaultParagraphFont"/>
    <w:link w:val="Heading8"/>
    <w:qFormat/>
    <w:rPr>
      <w:rFonts w:eastAsia="Aptos" w:cs="DejaVu Sans"/>
      <w:i/>
      <w:iCs/>
      <w:color w:val="272727"/>
    </w:rPr>
  </w:style>
  <w:style w:type="character" w:styleId="Heading9Char">
    <w:name w:val="Heading 9 Char"/>
    <w:basedOn w:val="DefaultParagraphFont"/>
    <w:link w:val="Heading9"/>
    <w:qFormat/>
    <w:rPr>
      <w:rFonts w:eastAsia="Aptos" w:cs="DejaVu Sans"/>
      <w:color w:val="272727"/>
    </w:rPr>
  </w:style>
  <w:style w:type="character" w:styleId="TitleChar">
    <w:name w:val="Title Char"/>
    <w:basedOn w:val="DefaultParagraphFont"/>
    <w:link w:val="Title"/>
    <w:qFormat/>
    <w:rPr>
      <w:rFonts w:ascii="Aptos Display" w:hAnsi="Aptos Display" w:eastAsia="Aptos" w:cs="DejaVu Sans"/>
      <w:spacing w:val="-10"/>
      <w:kern w:val="2"/>
      <w:sz w:val="56"/>
      <w:szCs w:val="56"/>
    </w:rPr>
  </w:style>
  <w:style w:type="character" w:styleId="SubtitleChar">
    <w:name w:val="Subtitle Char"/>
    <w:basedOn w:val="DefaultParagraphFont"/>
    <w:link w:val="Subtitle"/>
    <w:qFormat/>
    <w:rPr>
      <w:rFonts w:eastAsia="Aptos" w:cs="DejaVu Sans"/>
      <w:color w:val="595959"/>
      <w:spacing w:val="15"/>
      <w:sz w:val="28"/>
      <w:szCs w:val="28"/>
    </w:rPr>
  </w:style>
  <w:style w:type="character" w:styleId="QuoteChar">
    <w:name w:val="Quote Char"/>
    <w:basedOn w:val="DefaultParagraphFont"/>
    <w:link w:val="Quote"/>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link w:val="IntenseQuote"/>
    <w:qFormat/>
    <w:rPr>
      <w:i/>
      <w:iCs/>
      <w:color w:val="0F4761"/>
    </w:rPr>
  </w:style>
  <w:style w:type="character" w:styleId="IntenseReference">
    <w:name w:val="Intense Reference"/>
    <w:basedOn w:val="DefaultParagraphFont"/>
    <w:qFormat/>
    <w:rPr>
      <w:b/>
      <w:bCs/>
      <w:smallCaps/>
      <w:color w:val="0F4761"/>
      <w:spacing w:val="5"/>
    </w:rPr>
  </w:style>
  <w:style w:type="character" w:styleId="InternetLink">
    <w:name w:val="Hyperlink"/>
    <w:basedOn w:val="DefaultParagraphFont"/>
    <w:rPr>
      <w:color w:val="467886"/>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link w:val="TitleChar"/>
    <w:qFormat/>
    <w:pPr>
      <w:spacing w:lineRule="auto" w:line="240" w:before="0" w:after="80"/>
      <w:contextualSpacing/>
    </w:pPr>
    <w:rPr>
      <w:rFonts w:ascii="Aptos Display" w:hAnsi="Aptos Display" w:eastAsia="Aptos" w:cs="DejaVu Sans"/>
      <w:spacing w:val="-10"/>
      <w:kern w:val="2"/>
      <w:sz w:val="56"/>
      <w:szCs w:val="56"/>
    </w:rPr>
  </w:style>
  <w:style w:type="paragraph" w:styleId="Subtitle">
    <w:name w:val="Subtitle"/>
    <w:basedOn w:val="Normal"/>
    <w:next w:val="Normal"/>
    <w:link w:val="SubtitleChar"/>
    <w:qFormat/>
    <w:pPr/>
    <w:rPr>
      <w:rFonts w:eastAsia="Aptos" w:cs="DejaVu Sans"/>
      <w:color w:val="595959"/>
      <w:spacing w:val="15"/>
      <w:sz w:val="28"/>
      <w:szCs w:val="28"/>
    </w:rPr>
  </w:style>
  <w:style w:type="paragraph" w:styleId="Quote">
    <w:name w:val="Quote"/>
    <w:basedOn w:val="Normal"/>
    <w:next w:val="Normal"/>
    <w:link w:val="QuoteChar"/>
    <w:qFormat/>
    <w:pPr>
      <w:spacing w:before="160" w:after="160"/>
      <w:jc w:val="center"/>
    </w:pPr>
    <w:rPr>
      <w:i/>
      <w:iCs/>
      <w:color w:val="404040"/>
    </w:rPr>
  </w:style>
  <w:style w:type="paragraph" w:styleId="ListParagraph">
    <w:name w:val="List Paragraph"/>
    <w:basedOn w:val="Normal"/>
    <w:qFormat/>
    <w:pPr>
      <w:spacing w:before="0" w:after="160"/>
      <w:ind w:left="720" w:right="0" w:hanging="0"/>
      <w:contextualSpacing/>
    </w:pPr>
    <w:rPr/>
  </w:style>
  <w:style w:type="paragraph" w:styleId="IntenseQuote">
    <w:name w:val="Intense Quote"/>
    <w:basedOn w:val="Normal"/>
    <w:next w:val="Normal"/>
    <w:link w:val="IntenseQuoteChar"/>
    <w:qFormat/>
    <w:pPr>
      <w:pBdr>
        <w:top w:val="single" w:sz="4" w:space="10" w:color="0F4761"/>
        <w:bottom w:val="single" w:sz="4" w:space="10" w:color="0F4761"/>
      </w:pBdr>
      <w:spacing w:before="360" w:after="360"/>
      <w:ind w:left="864" w:right="864" w:hanging="0"/>
      <w:jc w:val="center"/>
    </w:pPr>
    <w:rPr>
      <w:i/>
      <w:iCs/>
      <w:color w:val="0F4761"/>
    </w:rPr>
  </w:style>
  <w:style w:type="paragraph" w:styleId="TableContents">
    <w:name w:val="Table Contents"/>
    <w:basedOn w:val="Normal"/>
    <w:qFormat/>
    <w:pPr>
      <w:widowControl w:val="false"/>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51</TotalTime>
  <Application>LibreOffice/7.3.7.2$Linux_X86_64 LibreOffice_project/30$Build-2</Application>
  <AppVersion>15.0000</AppVersion>
  <Pages>1</Pages>
  <Words>340</Words>
  <Characters>2016</Characters>
  <CharactersWithSpaces>2362</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2026-04-07T16:34:00Z</dcterms:created>
  <dc:creator>Gilbert Bigras</dc:creator>
  <dc:description/>
  <dc:language>en-CA</dc:language>
  <cp:lastModifiedBy>Gilbert Bigras</cp:lastModifiedBy>
  <dcterms:modified xsi:type="dcterms:W3CDTF">2026-04-07T15:00:10Z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